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7856" w:rsidRPr="00DB0F69" w:rsidRDefault="006C0D20" w:rsidP="00E07178">
      <w:pPr>
        <w:jc w:val="center"/>
        <w:rPr>
          <w:rFonts w:ascii="Book Antiqua" w:hAnsi="Book Antiqua"/>
          <w:b/>
          <w:caps/>
          <w:sz w:val="23"/>
          <w:szCs w:val="23"/>
        </w:rPr>
      </w:pPr>
      <w:bookmarkStart w:id="0" w:name="_GoBack"/>
      <w:bookmarkEnd w:id="0"/>
      <w:r w:rsidRPr="00DB0F69">
        <w:rPr>
          <w:rFonts w:ascii="Book Antiqua" w:hAnsi="Book Antiqua"/>
          <w:b/>
          <w:caps/>
          <w:sz w:val="23"/>
          <w:szCs w:val="23"/>
        </w:rPr>
        <w:t>Droit international du commerce</w:t>
      </w:r>
    </w:p>
    <w:p w:rsidR="006C0D20" w:rsidRPr="00762ADF" w:rsidRDefault="009F46D7" w:rsidP="00E07178">
      <w:pPr>
        <w:jc w:val="center"/>
        <w:rPr>
          <w:rFonts w:ascii="Book Antiqua" w:hAnsi="Book Antiqua"/>
          <w:b/>
          <w:sz w:val="23"/>
          <w:szCs w:val="23"/>
        </w:rPr>
      </w:pPr>
      <w:r>
        <w:rPr>
          <w:rFonts w:ascii="Book Antiqua" w:hAnsi="Book Antiqua"/>
          <w:b/>
          <w:sz w:val="23"/>
          <w:szCs w:val="23"/>
        </w:rPr>
        <w:t>Proposition de cours</w:t>
      </w:r>
    </w:p>
    <w:p w:rsidR="006C0D20" w:rsidRPr="00762ADF" w:rsidRDefault="006C0D20" w:rsidP="00E07178">
      <w:pPr>
        <w:jc w:val="center"/>
        <w:rPr>
          <w:rFonts w:ascii="Book Antiqua" w:hAnsi="Book Antiqua"/>
          <w:b/>
          <w:sz w:val="23"/>
          <w:szCs w:val="23"/>
        </w:rPr>
      </w:pPr>
      <w:r w:rsidRPr="00762ADF">
        <w:rPr>
          <w:rFonts w:ascii="Book Antiqua" w:hAnsi="Book Antiqua"/>
          <w:b/>
          <w:sz w:val="23"/>
          <w:szCs w:val="23"/>
        </w:rPr>
        <w:t>Par Alan Hervé</w:t>
      </w:r>
    </w:p>
    <w:p w:rsidR="006C0D20" w:rsidRPr="00762ADF" w:rsidRDefault="006C0D20" w:rsidP="00E07178">
      <w:pPr>
        <w:jc w:val="center"/>
        <w:rPr>
          <w:rFonts w:ascii="Book Antiqua" w:hAnsi="Book Antiqua"/>
          <w:b/>
          <w:sz w:val="23"/>
          <w:szCs w:val="23"/>
        </w:rPr>
      </w:pPr>
      <w:r w:rsidRPr="00762ADF">
        <w:rPr>
          <w:rFonts w:ascii="Book Antiqua" w:hAnsi="Book Antiqua"/>
          <w:b/>
          <w:sz w:val="23"/>
          <w:szCs w:val="23"/>
        </w:rPr>
        <w:t>Professeur à l’IEP de Rennes</w:t>
      </w:r>
    </w:p>
    <w:p w:rsidR="00E07178" w:rsidRDefault="00E07178" w:rsidP="0057732A">
      <w:pPr>
        <w:pBdr>
          <w:bottom w:val="single" w:sz="4" w:space="1" w:color="auto"/>
        </w:pBdr>
        <w:tabs>
          <w:tab w:val="left" w:pos="1095"/>
        </w:tabs>
        <w:jc w:val="center"/>
        <w:rPr>
          <w:rFonts w:ascii="Book Antiqua" w:hAnsi="Book Antiqua"/>
          <w:caps/>
          <w:sz w:val="23"/>
          <w:szCs w:val="23"/>
        </w:rPr>
      </w:pPr>
    </w:p>
    <w:p w:rsidR="006C0D20" w:rsidRPr="00762ADF" w:rsidRDefault="006C0D20" w:rsidP="0057732A">
      <w:pPr>
        <w:pBdr>
          <w:bottom w:val="single" w:sz="4" w:space="1" w:color="auto"/>
        </w:pBdr>
        <w:tabs>
          <w:tab w:val="left" w:pos="1095"/>
        </w:tabs>
        <w:jc w:val="center"/>
        <w:rPr>
          <w:rFonts w:ascii="Book Antiqua" w:hAnsi="Book Antiqua"/>
          <w:caps/>
          <w:sz w:val="23"/>
          <w:szCs w:val="23"/>
        </w:rPr>
      </w:pPr>
      <w:r w:rsidRPr="00762ADF">
        <w:rPr>
          <w:rFonts w:ascii="Book Antiqua" w:hAnsi="Book Antiqua"/>
          <w:caps/>
          <w:sz w:val="23"/>
          <w:szCs w:val="23"/>
        </w:rPr>
        <w:t>Plan</w:t>
      </w:r>
      <w:r w:rsidR="0057732A">
        <w:rPr>
          <w:rFonts w:ascii="Book Antiqua" w:hAnsi="Book Antiqua"/>
          <w:caps/>
          <w:sz w:val="23"/>
          <w:szCs w:val="23"/>
        </w:rPr>
        <w:t xml:space="preserve"> </w:t>
      </w:r>
      <w:r w:rsidRPr="00762ADF">
        <w:rPr>
          <w:rFonts w:ascii="Book Antiqua" w:hAnsi="Book Antiqua"/>
          <w:caps/>
          <w:sz w:val="23"/>
          <w:szCs w:val="23"/>
        </w:rPr>
        <w:t>de cours</w:t>
      </w:r>
    </w:p>
    <w:p w:rsidR="006C0D20" w:rsidRDefault="006C0D20" w:rsidP="006C0D20">
      <w:pPr>
        <w:tabs>
          <w:tab w:val="left" w:pos="1095"/>
        </w:tabs>
        <w:rPr>
          <w:rFonts w:ascii="Book Antiqua" w:hAnsi="Book Antiqua"/>
          <w:sz w:val="23"/>
          <w:szCs w:val="23"/>
        </w:rPr>
      </w:pPr>
    </w:p>
    <w:p w:rsidR="006C0D20" w:rsidRPr="00762ADF" w:rsidRDefault="006C0D20" w:rsidP="006C0D20">
      <w:pPr>
        <w:tabs>
          <w:tab w:val="left" w:pos="1095"/>
        </w:tabs>
        <w:rPr>
          <w:rFonts w:ascii="Book Antiqua" w:hAnsi="Book Antiqua"/>
          <w:smallCaps/>
          <w:sz w:val="23"/>
          <w:szCs w:val="23"/>
        </w:rPr>
      </w:pPr>
      <w:r w:rsidRPr="00762ADF">
        <w:rPr>
          <w:rFonts w:ascii="Book Antiqua" w:hAnsi="Book Antiqua"/>
          <w:smallCaps/>
          <w:sz w:val="23"/>
          <w:szCs w:val="23"/>
        </w:rPr>
        <w:t>Introduction</w:t>
      </w:r>
    </w:p>
    <w:p w:rsidR="006C0D20" w:rsidRDefault="006C0D20" w:rsidP="006C0D20">
      <w:pPr>
        <w:pStyle w:val="Paragraphedeliste"/>
        <w:numPr>
          <w:ilvl w:val="0"/>
          <w:numId w:val="1"/>
        </w:numPr>
        <w:tabs>
          <w:tab w:val="left" w:pos="1095"/>
        </w:tabs>
        <w:rPr>
          <w:rFonts w:ascii="Book Antiqua" w:hAnsi="Book Antiqua"/>
          <w:sz w:val="23"/>
          <w:szCs w:val="23"/>
        </w:rPr>
      </w:pPr>
      <w:r w:rsidRPr="006C0D20">
        <w:rPr>
          <w:rFonts w:ascii="Book Antiqua" w:hAnsi="Book Antiqua"/>
          <w:sz w:val="23"/>
          <w:szCs w:val="23"/>
        </w:rPr>
        <w:t>Caractéristiques générales du droit international du commerce</w:t>
      </w:r>
    </w:p>
    <w:p w:rsidR="006C0D20" w:rsidRDefault="003C69A6" w:rsidP="006C0D20">
      <w:pPr>
        <w:pStyle w:val="Paragraphedeliste"/>
        <w:numPr>
          <w:ilvl w:val="0"/>
          <w:numId w:val="1"/>
        </w:numPr>
        <w:tabs>
          <w:tab w:val="left" w:pos="1095"/>
        </w:tabs>
        <w:rPr>
          <w:rFonts w:ascii="Book Antiqua" w:hAnsi="Book Antiqua"/>
          <w:sz w:val="23"/>
          <w:szCs w:val="23"/>
        </w:rPr>
      </w:pPr>
      <w:r>
        <w:rPr>
          <w:rFonts w:ascii="Book Antiqua" w:hAnsi="Book Antiqua"/>
          <w:sz w:val="23"/>
          <w:szCs w:val="23"/>
        </w:rPr>
        <w:t xml:space="preserve">Histoire du </w:t>
      </w:r>
      <w:r w:rsidR="006C0D20">
        <w:rPr>
          <w:rFonts w:ascii="Book Antiqua" w:hAnsi="Book Antiqua"/>
          <w:sz w:val="23"/>
          <w:szCs w:val="23"/>
        </w:rPr>
        <w:t>développement des règles du droit international du commerce</w:t>
      </w:r>
      <w:r>
        <w:rPr>
          <w:rFonts w:ascii="Book Antiqua" w:hAnsi="Book Antiqua"/>
          <w:sz w:val="23"/>
          <w:szCs w:val="23"/>
        </w:rPr>
        <w:t> : des traités de paix et d’amitiés aux accords de l’OMC</w:t>
      </w:r>
    </w:p>
    <w:p w:rsidR="006C0D20" w:rsidRDefault="006C0D20" w:rsidP="006C0D20">
      <w:pPr>
        <w:tabs>
          <w:tab w:val="left" w:pos="1095"/>
        </w:tabs>
        <w:rPr>
          <w:rFonts w:ascii="Book Antiqua" w:hAnsi="Book Antiqua"/>
          <w:sz w:val="23"/>
          <w:szCs w:val="23"/>
        </w:rPr>
      </w:pPr>
    </w:p>
    <w:p w:rsidR="006C0D20" w:rsidRPr="00762ADF" w:rsidRDefault="006C0D20" w:rsidP="006C0D20">
      <w:pPr>
        <w:tabs>
          <w:tab w:val="left" w:pos="1095"/>
        </w:tabs>
        <w:rPr>
          <w:rFonts w:ascii="Book Antiqua" w:hAnsi="Book Antiqua"/>
          <w:smallCaps/>
          <w:sz w:val="23"/>
          <w:szCs w:val="23"/>
        </w:rPr>
      </w:pPr>
      <w:r w:rsidRPr="00762ADF">
        <w:rPr>
          <w:rFonts w:ascii="Book Antiqua" w:hAnsi="Book Antiqua"/>
          <w:smallCaps/>
          <w:sz w:val="23"/>
          <w:szCs w:val="23"/>
        </w:rPr>
        <w:t>Première Partie</w:t>
      </w:r>
      <w:r w:rsidR="00B138A0" w:rsidRPr="00762ADF">
        <w:rPr>
          <w:rFonts w:ascii="Book Antiqua" w:hAnsi="Book Antiqua"/>
          <w:smallCaps/>
          <w:sz w:val="23"/>
          <w:szCs w:val="23"/>
        </w:rPr>
        <w:t> :</w:t>
      </w:r>
      <w:r w:rsidR="00700202" w:rsidRPr="00762ADF">
        <w:rPr>
          <w:rFonts w:ascii="Book Antiqua" w:hAnsi="Book Antiqua"/>
          <w:smallCaps/>
          <w:sz w:val="23"/>
          <w:szCs w:val="23"/>
        </w:rPr>
        <w:t xml:space="preserve"> Un</w:t>
      </w:r>
      <w:r w:rsidR="00B138A0" w:rsidRPr="00762ADF">
        <w:rPr>
          <w:rFonts w:ascii="Book Antiqua" w:hAnsi="Book Antiqua"/>
          <w:smallCaps/>
          <w:sz w:val="23"/>
          <w:szCs w:val="23"/>
        </w:rPr>
        <w:t xml:space="preserve"> système commercial multilatéral</w:t>
      </w:r>
      <w:r w:rsidR="00700202" w:rsidRPr="00762ADF">
        <w:rPr>
          <w:rFonts w:ascii="Book Antiqua" w:hAnsi="Book Antiqua"/>
          <w:smallCaps/>
          <w:sz w:val="23"/>
          <w:szCs w:val="23"/>
        </w:rPr>
        <w:t xml:space="preserve"> en voie d’implosion ? </w:t>
      </w:r>
    </w:p>
    <w:p w:rsidR="00B138A0" w:rsidRDefault="00B138A0" w:rsidP="006C0D20">
      <w:pPr>
        <w:tabs>
          <w:tab w:val="left" w:pos="1095"/>
        </w:tabs>
        <w:rPr>
          <w:rFonts w:ascii="Book Antiqua" w:hAnsi="Book Antiqua"/>
          <w:sz w:val="23"/>
          <w:szCs w:val="23"/>
        </w:rPr>
      </w:pPr>
    </w:p>
    <w:p w:rsidR="00B138A0" w:rsidRDefault="00B138A0" w:rsidP="006C0D20">
      <w:pPr>
        <w:tabs>
          <w:tab w:val="left" w:pos="1095"/>
        </w:tabs>
        <w:rPr>
          <w:rFonts w:ascii="Book Antiqua" w:hAnsi="Book Antiqua"/>
          <w:sz w:val="23"/>
          <w:szCs w:val="23"/>
        </w:rPr>
      </w:pPr>
      <w:r w:rsidRPr="00B010F5">
        <w:rPr>
          <w:rFonts w:ascii="Book Antiqua" w:hAnsi="Book Antiqua"/>
          <w:b/>
          <w:sz w:val="23"/>
          <w:szCs w:val="23"/>
        </w:rPr>
        <w:t>Chapitre 1</w:t>
      </w:r>
      <w:r>
        <w:rPr>
          <w:rFonts w:ascii="Book Antiqua" w:hAnsi="Book Antiqua"/>
          <w:sz w:val="23"/>
          <w:szCs w:val="23"/>
        </w:rPr>
        <w:t> : L’Organisation mondial du commerce (OMC)</w:t>
      </w:r>
    </w:p>
    <w:p w:rsidR="00B138A0" w:rsidRDefault="00B138A0" w:rsidP="006C0D20">
      <w:pPr>
        <w:tabs>
          <w:tab w:val="left" w:pos="1095"/>
        </w:tabs>
        <w:rPr>
          <w:rFonts w:ascii="Book Antiqua" w:hAnsi="Book Antiqua"/>
          <w:sz w:val="23"/>
          <w:szCs w:val="23"/>
        </w:rPr>
      </w:pPr>
      <w:r w:rsidRPr="00B010F5">
        <w:rPr>
          <w:rFonts w:ascii="Book Antiqua" w:hAnsi="Book Antiqua"/>
          <w:sz w:val="23"/>
          <w:szCs w:val="23"/>
          <w:u w:val="single"/>
        </w:rPr>
        <w:t>Section 1</w:t>
      </w:r>
      <w:r>
        <w:rPr>
          <w:rFonts w:ascii="Book Antiqua" w:hAnsi="Book Antiqua"/>
          <w:sz w:val="23"/>
          <w:szCs w:val="23"/>
        </w:rPr>
        <w:t> : La Charte constitutive de l’OMC</w:t>
      </w:r>
    </w:p>
    <w:p w:rsidR="00B138A0" w:rsidRDefault="00B138A0" w:rsidP="006C0D20">
      <w:pPr>
        <w:tabs>
          <w:tab w:val="left" w:pos="1095"/>
        </w:tabs>
        <w:rPr>
          <w:rFonts w:ascii="Book Antiqua" w:hAnsi="Book Antiqua"/>
          <w:sz w:val="23"/>
          <w:szCs w:val="23"/>
        </w:rPr>
      </w:pPr>
      <w:r w:rsidRPr="00B010F5">
        <w:rPr>
          <w:rFonts w:ascii="Book Antiqua" w:hAnsi="Book Antiqua"/>
          <w:sz w:val="23"/>
          <w:szCs w:val="23"/>
          <w:u w:val="single"/>
        </w:rPr>
        <w:t>Section 2</w:t>
      </w:r>
      <w:r>
        <w:rPr>
          <w:rFonts w:ascii="Book Antiqua" w:hAnsi="Book Antiqua"/>
          <w:sz w:val="23"/>
          <w:szCs w:val="23"/>
        </w:rPr>
        <w:t> : La structure institutionnelle et le fonctionnement de l’OMC</w:t>
      </w:r>
    </w:p>
    <w:p w:rsidR="00B138A0" w:rsidRDefault="00B138A0" w:rsidP="006C0D20">
      <w:pPr>
        <w:tabs>
          <w:tab w:val="left" w:pos="1095"/>
        </w:tabs>
        <w:rPr>
          <w:rFonts w:ascii="Book Antiqua" w:hAnsi="Book Antiqua"/>
          <w:sz w:val="23"/>
          <w:szCs w:val="23"/>
        </w:rPr>
      </w:pPr>
      <w:r w:rsidRPr="00B010F5">
        <w:rPr>
          <w:rFonts w:ascii="Book Antiqua" w:hAnsi="Book Antiqua"/>
          <w:sz w:val="23"/>
          <w:szCs w:val="23"/>
          <w:u w:val="single"/>
        </w:rPr>
        <w:t>Section 3</w:t>
      </w:r>
      <w:r>
        <w:rPr>
          <w:rFonts w:ascii="Book Antiqua" w:hAnsi="Book Antiqua"/>
          <w:sz w:val="23"/>
          <w:szCs w:val="23"/>
        </w:rPr>
        <w:t> : Une organisa</w:t>
      </w:r>
      <w:r w:rsidR="003C69A6">
        <w:rPr>
          <w:rFonts w:ascii="Book Antiqua" w:hAnsi="Book Antiqua"/>
          <w:sz w:val="23"/>
          <w:szCs w:val="23"/>
        </w:rPr>
        <w:t xml:space="preserve">tion quasi-universelle </w:t>
      </w:r>
    </w:p>
    <w:p w:rsidR="00B138A0" w:rsidRDefault="00B138A0" w:rsidP="006C0D20">
      <w:pPr>
        <w:tabs>
          <w:tab w:val="left" w:pos="1095"/>
        </w:tabs>
        <w:rPr>
          <w:rFonts w:ascii="Book Antiqua" w:hAnsi="Book Antiqua"/>
          <w:sz w:val="23"/>
          <w:szCs w:val="23"/>
        </w:rPr>
      </w:pPr>
      <w:r w:rsidRPr="00B010F5">
        <w:rPr>
          <w:rFonts w:ascii="Book Antiqua" w:hAnsi="Book Antiqua"/>
          <w:sz w:val="23"/>
          <w:szCs w:val="23"/>
          <w:u w:val="single"/>
        </w:rPr>
        <w:t>Section 4</w:t>
      </w:r>
      <w:r>
        <w:rPr>
          <w:rFonts w:ascii="Book Antiqua" w:hAnsi="Book Antiqua"/>
          <w:sz w:val="23"/>
          <w:szCs w:val="23"/>
        </w:rPr>
        <w:t xml:space="preserve"> : Les principales fonctions de l’OMC : un forum permanent de négociation et de règlement des différends </w:t>
      </w:r>
    </w:p>
    <w:p w:rsidR="00B138A0" w:rsidRDefault="00B138A0" w:rsidP="006C0D20">
      <w:pPr>
        <w:tabs>
          <w:tab w:val="left" w:pos="1095"/>
        </w:tabs>
        <w:rPr>
          <w:rFonts w:ascii="Book Antiqua" w:hAnsi="Book Antiqua"/>
          <w:sz w:val="23"/>
          <w:szCs w:val="23"/>
        </w:rPr>
      </w:pPr>
    </w:p>
    <w:p w:rsidR="00B138A0" w:rsidRDefault="00B138A0" w:rsidP="006C0D20">
      <w:pPr>
        <w:tabs>
          <w:tab w:val="left" w:pos="1095"/>
        </w:tabs>
        <w:rPr>
          <w:rFonts w:ascii="Book Antiqua" w:hAnsi="Book Antiqua"/>
          <w:sz w:val="23"/>
          <w:szCs w:val="23"/>
        </w:rPr>
      </w:pPr>
      <w:r w:rsidRPr="00B010F5">
        <w:rPr>
          <w:rFonts w:ascii="Book Antiqua" w:hAnsi="Book Antiqua"/>
          <w:b/>
          <w:sz w:val="23"/>
          <w:szCs w:val="23"/>
        </w:rPr>
        <w:t>Chapitre 2</w:t>
      </w:r>
      <w:r>
        <w:rPr>
          <w:rFonts w:ascii="Book Antiqua" w:hAnsi="Book Antiqua"/>
          <w:sz w:val="23"/>
          <w:szCs w:val="23"/>
        </w:rPr>
        <w:t> : La gouvernance du commerce international par un corps de règles unifiées</w:t>
      </w:r>
    </w:p>
    <w:p w:rsidR="00B138A0" w:rsidRDefault="00B138A0" w:rsidP="006C0D20">
      <w:pPr>
        <w:tabs>
          <w:tab w:val="left" w:pos="1095"/>
        </w:tabs>
        <w:rPr>
          <w:rFonts w:ascii="Book Antiqua" w:hAnsi="Book Antiqua"/>
          <w:sz w:val="23"/>
          <w:szCs w:val="23"/>
        </w:rPr>
      </w:pPr>
      <w:r w:rsidRPr="00B010F5">
        <w:rPr>
          <w:rFonts w:ascii="Book Antiqua" w:hAnsi="Book Antiqua"/>
          <w:sz w:val="23"/>
          <w:szCs w:val="23"/>
          <w:u w:val="single"/>
        </w:rPr>
        <w:t>Section 1</w:t>
      </w:r>
      <w:r>
        <w:rPr>
          <w:rFonts w:ascii="Book Antiqua" w:hAnsi="Book Antiqua"/>
          <w:sz w:val="23"/>
          <w:szCs w:val="23"/>
        </w:rPr>
        <w:t xml:space="preserve"> : La clause de la nation la plus favorisée </w:t>
      </w:r>
      <w:r w:rsidR="00C03837">
        <w:rPr>
          <w:rFonts w:ascii="Book Antiqua" w:hAnsi="Book Antiqua"/>
          <w:sz w:val="23"/>
          <w:szCs w:val="23"/>
        </w:rPr>
        <w:t xml:space="preserve">(CNPF) </w:t>
      </w:r>
      <w:r>
        <w:rPr>
          <w:rFonts w:ascii="Book Antiqua" w:hAnsi="Book Antiqua"/>
          <w:sz w:val="23"/>
          <w:szCs w:val="23"/>
        </w:rPr>
        <w:t>et le traitement national </w:t>
      </w:r>
      <w:r w:rsidR="00C03837">
        <w:rPr>
          <w:rFonts w:ascii="Book Antiqua" w:hAnsi="Book Antiqua"/>
          <w:sz w:val="23"/>
          <w:szCs w:val="23"/>
        </w:rPr>
        <w:t xml:space="preserve">(TN) </w:t>
      </w:r>
      <w:r>
        <w:rPr>
          <w:rFonts w:ascii="Book Antiqua" w:hAnsi="Book Antiqua"/>
          <w:sz w:val="23"/>
          <w:szCs w:val="23"/>
        </w:rPr>
        <w:t>: principes cardinaux du GATT/OMC</w:t>
      </w:r>
    </w:p>
    <w:p w:rsidR="00C03837" w:rsidRDefault="00C03837" w:rsidP="006C0D20">
      <w:pPr>
        <w:tabs>
          <w:tab w:val="left" w:pos="1095"/>
        </w:tabs>
        <w:rPr>
          <w:rFonts w:ascii="Book Antiqua" w:hAnsi="Book Antiqua"/>
          <w:sz w:val="23"/>
          <w:szCs w:val="23"/>
        </w:rPr>
      </w:pPr>
      <w:r>
        <w:rPr>
          <w:rFonts w:ascii="Book Antiqua" w:hAnsi="Book Antiqua"/>
          <w:sz w:val="23"/>
          <w:szCs w:val="23"/>
        </w:rPr>
        <w:t xml:space="preserve">§1. Présentation des principes </w:t>
      </w:r>
    </w:p>
    <w:p w:rsidR="00C03837" w:rsidRDefault="00C03837" w:rsidP="006C0D20">
      <w:pPr>
        <w:tabs>
          <w:tab w:val="left" w:pos="1095"/>
        </w:tabs>
        <w:rPr>
          <w:rFonts w:ascii="Book Antiqua" w:hAnsi="Book Antiqua"/>
          <w:sz w:val="23"/>
          <w:szCs w:val="23"/>
        </w:rPr>
      </w:pPr>
      <w:r>
        <w:rPr>
          <w:rFonts w:ascii="Book Antiqua" w:hAnsi="Book Antiqua"/>
          <w:sz w:val="23"/>
          <w:szCs w:val="23"/>
        </w:rPr>
        <w:t xml:space="preserve">§2. Les </w:t>
      </w:r>
      <w:r w:rsidR="00700202">
        <w:rPr>
          <w:rFonts w:ascii="Book Antiqua" w:hAnsi="Book Antiqua"/>
          <w:sz w:val="23"/>
          <w:szCs w:val="23"/>
        </w:rPr>
        <w:t xml:space="preserve">différentes </w:t>
      </w:r>
      <w:r>
        <w:rPr>
          <w:rFonts w:ascii="Book Antiqua" w:hAnsi="Book Antiqua"/>
          <w:sz w:val="23"/>
          <w:szCs w:val="23"/>
        </w:rPr>
        <w:t>exceptions</w:t>
      </w:r>
      <w:r w:rsidR="00700202">
        <w:rPr>
          <w:rFonts w:ascii="Book Antiqua" w:hAnsi="Book Antiqua"/>
          <w:sz w:val="23"/>
          <w:szCs w:val="23"/>
        </w:rPr>
        <w:t xml:space="preserve"> et tempérament</w:t>
      </w:r>
      <w:r w:rsidR="00DB0F69">
        <w:rPr>
          <w:rFonts w:ascii="Book Antiqua" w:hAnsi="Book Antiqua"/>
          <w:sz w:val="23"/>
          <w:szCs w:val="23"/>
        </w:rPr>
        <w:t>s</w:t>
      </w:r>
    </w:p>
    <w:p w:rsidR="00C03837" w:rsidRDefault="00700202" w:rsidP="006C0D20">
      <w:pPr>
        <w:tabs>
          <w:tab w:val="left" w:pos="1095"/>
        </w:tabs>
        <w:rPr>
          <w:rFonts w:ascii="Book Antiqua" w:hAnsi="Book Antiqua"/>
          <w:sz w:val="23"/>
          <w:szCs w:val="23"/>
        </w:rPr>
      </w:pPr>
      <w:r w:rsidRPr="00B010F5">
        <w:rPr>
          <w:rFonts w:ascii="Book Antiqua" w:hAnsi="Book Antiqua"/>
          <w:sz w:val="23"/>
          <w:szCs w:val="23"/>
          <w:u w:val="single"/>
        </w:rPr>
        <w:t>Section 2</w:t>
      </w:r>
      <w:r>
        <w:rPr>
          <w:rFonts w:ascii="Book Antiqua" w:hAnsi="Book Antiqua"/>
          <w:sz w:val="23"/>
          <w:szCs w:val="23"/>
        </w:rPr>
        <w:t> : les accords de l’OMC</w:t>
      </w:r>
    </w:p>
    <w:p w:rsidR="00700202" w:rsidRDefault="00700202" w:rsidP="006C0D20">
      <w:pPr>
        <w:tabs>
          <w:tab w:val="left" w:pos="1095"/>
        </w:tabs>
        <w:rPr>
          <w:rFonts w:ascii="Book Antiqua" w:hAnsi="Book Antiqua"/>
          <w:sz w:val="23"/>
          <w:szCs w:val="23"/>
        </w:rPr>
      </w:pPr>
      <w:r>
        <w:rPr>
          <w:rFonts w:ascii="Book Antiqua" w:hAnsi="Book Antiqua"/>
          <w:sz w:val="23"/>
          <w:szCs w:val="23"/>
        </w:rPr>
        <w:t>§ 1. Le GATT de 1994 et les principaux accords y annexés</w:t>
      </w:r>
    </w:p>
    <w:p w:rsidR="00700202" w:rsidRDefault="00700202" w:rsidP="006C0D20">
      <w:pPr>
        <w:tabs>
          <w:tab w:val="left" w:pos="1095"/>
        </w:tabs>
        <w:rPr>
          <w:rFonts w:ascii="Book Antiqua" w:hAnsi="Book Antiqua"/>
          <w:sz w:val="23"/>
          <w:szCs w:val="23"/>
        </w:rPr>
      </w:pPr>
      <w:r>
        <w:rPr>
          <w:rFonts w:ascii="Book Antiqua" w:hAnsi="Book Antiqua"/>
          <w:sz w:val="23"/>
          <w:szCs w:val="23"/>
        </w:rPr>
        <w:lastRenderedPageBreak/>
        <w:t>§2. L’Accord général sur le commerce des services (AGCS)</w:t>
      </w:r>
    </w:p>
    <w:p w:rsidR="00700202" w:rsidRDefault="00700202" w:rsidP="006C0D20">
      <w:pPr>
        <w:tabs>
          <w:tab w:val="left" w:pos="1095"/>
        </w:tabs>
        <w:rPr>
          <w:rFonts w:ascii="Book Antiqua" w:hAnsi="Book Antiqua"/>
          <w:sz w:val="23"/>
          <w:szCs w:val="23"/>
        </w:rPr>
      </w:pPr>
      <w:r>
        <w:rPr>
          <w:rFonts w:ascii="Book Antiqua" w:hAnsi="Book Antiqua"/>
          <w:sz w:val="23"/>
          <w:szCs w:val="23"/>
        </w:rPr>
        <w:t>§3. L’Accord sur les droits de propriété intellectuelle qui touchent au commerce (ADPIC)</w:t>
      </w:r>
    </w:p>
    <w:p w:rsidR="00700202" w:rsidRDefault="00700202" w:rsidP="006C0D20">
      <w:pPr>
        <w:tabs>
          <w:tab w:val="left" w:pos="1095"/>
        </w:tabs>
        <w:rPr>
          <w:rFonts w:ascii="Book Antiqua" w:hAnsi="Book Antiqua"/>
          <w:sz w:val="23"/>
          <w:szCs w:val="23"/>
        </w:rPr>
      </w:pPr>
      <w:r>
        <w:rPr>
          <w:rFonts w:ascii="Book Antiqua" w:hAnsi="Book Antiqua"/>
          <w:sz w:val="23"/>
          <w:szCs w:val="23"/>
        </w:rPr>
        <w:t xml:space="preserve">§4. L’Accord sur les marchés publics (AMP) révisé  </w:t>
      </w:r>
    </w:p>
    <w:p w:rsidR="00700202" w:rsidRDefault="00700202" w:rsidP="006C0D20">
      <w:pPr>
        <w:tabs>
          <w:tab w:val="left" w:pos="1095"/>
        </w:tabs>
        <w:rPr>
          <w:rFonts w:ascii="Book Antiqua" w:hAnsi="Book Antiqua"/>
          <w:sz w:val="23"/>
          <w:szCs w:val="23"/>
        </w:rPr>
      </w:pPr>
      <w:r w:rsidRPr="00B010F5">
        <w:rPr>
          <w:rFonts w:ascii="Book Antiqua" w:hAnsi="Book Antiqua"/>
          <w:sz w:val="23"/>
          <w:szCs w:val="23"/>
          <w:u w:val="single"/>
        </w:rPr>
        <w:t>Section 3</w:t>
      </w:r>
      <w:r>
        <w:rPr>
          <w:rFonts w:ascii="Book Antiqua" w:hAnsi="Book Antiqua"/>
          <w:sz w:val="23"/>
          <w:szCs w:val="23"/>
        </w:rPr>
        <w:t> : Le mécanisme de règlement des différends</w:t>
      </w:r>
    </w:p>
    <w:p w:rsidR="00C6433E" w:rsidRDefault="00C6433E" w:rsidP="006C0D20">
      <w:pPr>
        <w:tabs>
          <w:tab w:val="left" w:pos="1095"/>
        </w:tabs>
        <w:rPr>
          <w:rFonts w:ascii="Book Antiqua" w:hAnsi="Book Antiqua"/>
          <w:sz w:val="23"/>
          <w:szCs w:val="23"/>
        </w:rPr>
      </w:pPr>
      <w:r>
        <w:rPr>
          <w:rFonts w:ascii="Book Antiqua" w:hAnsi="Book Antiqua"/>
          <w:sz w:val="23"/>
          <w:szCs w:val="23"/>
        </w:rPr>
        <w:t>§1. Une procédure interétatique</w:t>
      </w:r>
    </w:p>
    <w:p w:rsidR="00C6433E" w:rsidRDefault="00C6433E" w:rsidP="006C0D20">
      <w:pPr>
        <w:tabs>
          <w:tab w:val="left" w:pos="1095"/>
        </w:tabs>
        <w:rPr>
          <w:rFonts w:ascii="Book Antiqua" w:hAnsi="Book Antiqua"/>
          <w:sz w:val="23"/>
          <w:szCs w:val="23"/>
        </w:rPr>
      </w:pPr>
      <w:r>
        <w:rPr>
          <w:rFonts w:ascii="Book Antiqua" w:hAnsi="Book Antiqua"/>
          <w:sz w:val="23"/>
          <w:szCs w:val="23"/>
        </w:rPr>
        <w:t>§2. Une procédure conjuguant le droit et la diplomatie</w:t>
      </w:r>
    </w:p>
    <w:p w:rsidR="00C6433E" w:rsidRDefault="00C6433E" w:rsidP="006C0D20">
      <w:pPr>
        <w:tabs>
          <w:tab w:val="left" w:pos="1095"/>
        </w:tabs>
        <w:rPr>
          <w:rFonts w:ascii="Book Antiqua" w:hAnsi="Book Antiqua"/>
          <w:sz w:val="23"/>
          <w:szCs w:val="23"/>
        </w:rPr>
      </w:pPr>
      <w:r>
        <w:rPr>
          <w:rFonts w:ascii="Book Antiqua" w:hAnsi="Book Antiqua"/>
          <w:sz w:val="23"/>
          <w:szCs w:val="23"/>
        </w:rPr>
        <w:t xml:space="preserve">§2. Une procédure sophistiquée </w:t>
      </w:r>
      <w:r w:rsidR="003C69A6">
        <w:rPr>
          <w:rFonts w:ascii="Book Antiqua" w:hAnsi="Book Antiqua"/>
          <w:sz w:val="23"/>
          <w:szCs w:val="23"/>
        </w:rPr>
        <w:t>destinée à garantir la mise en conformité</w:t>
      </w:r>
    </w:p>
    <w:p w:rsidR="00C6433E" w:rsidRDefault="00C6433E" w:rsidP="006C0D20">
      <w:pPr>
        <w:tabs>
          <w:tab w:val="left" w:pos="1095"/>
        </w:tabs>
        <w:rPr>
          <w:rFonts w:ascii="Book Antiqua" w:hAnsi="Book Antiqua"/>
          <w:sz w:val="23"/>
          <w:szCs w:val="23"/>
        </w:rPr>
      </w:pPr>
      <w:r w:rsidRPr="00B010F5">
        <w:rPr>
          <w:rFonts w:ascii="Book Antiqua" w:hAnsi="Book Antiqua"/>
          <w:sz w:val="23"/>
          <w:szCs w:val="23"/>
          <w:u w:val="single"/>
        </w:rPr>
        <w:t>Section 4</w:t>
      </w:r>
      <w:r>
        <w:rPr>
          <w:rFonts w:ascii="Book Antiqua" w:hAnsi="Book Antiqua"/>
          <w:sz w:val="23"/>
          <w:szCs w:val="23"/>
        </w:rPr>
        <w:t xml:space="preserve"> : Les effets internes </w:t>
      </w:r>
      <w:r w:rsidR="003C69A6">
        <w:rPr>
          <w:rFonts w:ascii="Book Antiqua" w:hAnsi="Book Antiqua"/>
          <w:sz w:val="23"/>
          <w:szCs w:val="23"/>
        </w:rPr>
        <w:t xml:space="preserve">limités </w:t>
      </w:r>
      <w:r>
        <w:rPr>
          <w:rFonts w:ascii="Book Antiqua" w:hAnsi="Book Antiqua"/>
          <w:sz w:val="23"/>
          <w:szCs w:val="23"/>
        </w:rPr>
        <w:t>du droit de l’OMC (exemple de l’Union européenne)</w:t>
      </w:r>
    </w:p>
    <w:p w:rsidR="00C6433E" w:rsidRDefault="00C6433E" w:rsidP="006C0D20">
      <w:pPr>
        <w:tabs>
          <w:tab w:val="left" w:pos="1095"/>
        </w:tabs>
        <w:rPr>
          <w:rFonts w:ascii="Book Antiqua" w:hAnsi="Book Antiqua"/>
          <w:sz w:val="23"/>
          <w:szCs w:val="23"/>
        </w:rPr>
      </w:pPr>
      <w:r>
        <w:rPr>
          <w:rFonts w:ascii="Book Antiqua" w:hAnsi="Book Antiqua"/>
          <w:sz w:val="23"/>
          <w:szCs w:val="23"/>
        </w:rPr>
        <w:t>§1. L’absence d’effet direct des règles de l’OMC</w:t>
      </w:r>
    </w:p>
    <w:p w:rsidR="00C6433E" w:rsidRDefault="00C6433E" w:rsidP="006C0D20">
      <w:pPr>
        <w:tabs>
          <w:tab w:val="left" w:pos="1095"/>
        </w:tabs>
        <w:rPr>
          <w:rFonts w:ascii="Book Antiqua" w:hAnsi="Book Antiqua"/>
          <w:sz w:val="23"/>
          <w:szCs w:val="23"/>
        </w:rPr>
      </w:pPr>
      <w:r>
        <w:rPr>
          <w:rFonts w:ascii="Book Antiqua" w:hAnsi="Book Antiqua"/>
          <w:sz w:val="23"/>
          <w:szCs w:val="23"/>
        </w:rPr>
        <w:t>§2. Les tempérament</w:t>
      </w:r>
      <w:r w:rsidR="007D2B3B">
        <w:rPr>
          <w:rFonts w:ascii="Book Antiqua" w:hAnsi="Book Antiqua"/>
          <w:sz w:val="23"/>
          <w:szCs w:val="23"/>
        </w:rPr>
        <w:t>s</w:t>
      </w:r>
      <w:r>
        <w:rPr>
          <w:rFonts w:ascii="Book Antiqua" w:hAnsi="Book Antiqua"/>
          <w:sz w:val="23"/>
          <w:szCs w:val="23"/>
        </w:rPr>
        <w:t xml:space="preserve"> à l’absence d’effet direct</w:t>
      </w:r>
    </w:p>
    <w:p w:rsidR="00700202" w:rsidRDefault="00700202" w:rsidP="006C0D20">
      <w:pPr>
        <w:tabs>
          <w:tab w:val="left" w:pos="1095"/>
        </w:tabs>
        <w:rPr>
          <w:rFonts w:ascii="Book Antiqua" w:hAnsi="Book Antiqua"/>
          <w:sz w:val="23"/>
          <w:szCs w:val="23"/>
        </w:rPr>
      </w:pPr>
    </w:p>
    <w:p w:rsidR="00700202" w:rsidRDefault="00700202" w:rsidP="006C0D20">
      <w:pPr>
        <w:tabs>
          <w:tab w:val="left" w:pos="1095"/>
        </w:tabs>
        <w:rPr>
          <w:rFonts w:ascii="Book Antiqua" w:hAnsi="Book Antiqua"/>
          <w:sz w:val="23"/>
          <w:szCs w:val="23"/>
        </w:rPr>
      </w:pPr>
      <w:r w:rsidRPr="00B010F5">
        <w:rPr>
          <w:rFonts w:ascii="Book Antiqua" w:hAnsi="Book Antiqua"/>
          <w:b/>
          <w:sz w:val="23"/>
          <w:szCs w:val="23"/>
        </w:rPr>
        <w:t>Chapitre 3</w:t>
      </w:r>
      <w:r>
        <w:rPr>
          <w:rFonts w:ascii="Book Antiqua" w:hAnsi="Book Antiqua"/>
          <w:sz w:val="23"/>
          <w:szCs w:val="23"/>
        </w:rPr>
        <w:t> : La crise de l’OMC</w:t>
      </w:r>
    </w:p>
    <w:p w:rsidR="00700202" w:rsidRDefault="00700202" w:rsidP="006C0D20">
      <w:pPr>
        <w:tabs>
          <w:tab w:val="left" w:pos="1095"/>
        </w:tabs>
        <w:rPr>
          <w:rFonts w:ascii="Book Antiqua" w:hAnsi="Book Antiqua"/>
          <w:sz w:val="23"/>
          <w:szCs w:val="23"/>
        </w:rPr>
      </w:pPr>
      <w:r w:rsidRPr="00B010F5">
        <w:rPr>
          <w:rFonts w:ascii="Book Antiqua" w:hAnsi="Book Antiqua"/>
          <w:sz w:val="23"/>
          <w:szCs w:val="23"/>
          <w:u w:val="single"/>
        </w:rPr>
        <w:t>Section 1</w:t>
      </w:r>
      <w:r>
        <w:rPr>
          <w:rFonts w:ascii="Book Antiqua" w:hAnsi="Book Antiqua"/>
          <w:sz w:val="23"/>
          <w:szCs w:val="23"/>
        </w:rPr>
        <w:t xml:space="preserve"> : Une diplomatie commerciale multilatérale en panne</w:t>
      </w:r>
    </w:p>
    <w:p w:rsidR="00700202" w:rsidRDefault="00700202" w:rsidP="006C0D20">
      <w:pPr>
        <w:tabs>
          <w:tab w:val="left" w:pos="1095"/>
        </w:tabs>
        <w:rPr>
          <w:rFonts w:ascii="Book Antiqua" w:hAnsi="Book Antiqua"/>
          <w:sz w:val="23"/>
          <w:szCs w:val="23"/>
        </w:rPr>
      </w:pPr>
      <w:r w:rsidRPr="00B010F5">
        <w:rPr>
          <w:rFonts w:ascii="Book Antiqua" w:hAnsi="Book Antiqua"/>
          <w:sz w:val="23"/>
          <w:szCs w:val="23"/>
          <w:u w:val="single"/>
        </w:rPr>
        <w:t>Section 2</w:t>
      </w:r>
      <w:r>
        <w:rPr>
          <w:rFonts w:ascii="Book Antiqua" w:hAnsi="Book Antiqua"/>
          <w:sz w:val="23"/>
          <w:szCs w:val="23"/>
        </w:rPr>
        <w:t> : L’affaiblissement du système de règlement des différends</w:t>
      </w:r>
    </w:p>
    <w:p w:rsidR="00700202" w:rsidRDefault="00700202" w:rsidP="006C0D20">
      <w:pPr>
        <w:tabs>
          <w:tab w:val="left" w:pos="1095"/>
        </w:tabs>
        <w:rPr>
          <w:rFonts w:ascii="Book Antiqua" w:hAnsi="Book Antiqua"/>
          <w:sz w:val="23"/>
          <w:szCs w:val="23"/>
        </w:rPr>
      </w:pPr>
      <w:r w:rsidRPr="00B010F5">
        <w:rPr>
          <w:rFonts w:ascii="Book Antiqua" w:hAnsi="Book Antiqua"/>
          <w:sz w:val="23"/>
          <w:szCs w:val="23"/>
          <w:u w:val="single"/>
        </w:rPr>
        <w:t>Section 3</w:t>
      </w:r>
      <w:r>
        <w:rPr>
          <w:rFonts w:ascii="Book Antiqua" w:hAnsi="Book Antiqua"/>
          <w:sz w:val="23"/>
          <w:szCs w:val="23"/>
        </w:rPr>
        <w:t xml:space="preserve"> : </w:t>
      </w:r>
      <w:r w:rsidR="00DB0F69">
        <w:rPr>
          <w:rFonts w:ascii="Book Antiqua" w:hAnsi="Book Antiqua"/>
          <w:sz w:val="23"/>
          <w:szCs w:val="23"/>
        </w:rPr>
        <w:t xml:space="preserve">Une organisation prisonnière des </w:t>
      </w:r>
      <w:r>
        <w:rPr>
          <w:rFonts w:ascii="Book Antiqua" w:hAnsi="Book Antiqua"/>
          <w:sz w:val="23"/>
          <w:szCs w:val="23"/>
        </w:rPr>
        <w:t>tensions sécuritaires et géopolitiques</w:t>
      </w:r>
    </w:p>
    <w:p w:rsidR="00700202" w:rsidRDefault="00700202" w:rsidP="006C0D20">
      <w:pPr>
        <w:tabs>
          <w:tab w:val="left" w:pos="1095"/>
        </w:tabs>
        <w:rPr>
          <w:rFonts w:ascii="Book Antiqua" w:hAnsi="Book Antiqua"/>
          <w:sz w:val="23"/>
          <w:szCs w:val="23"/>
        </w:rPr>
      </w:pPr>
      <w:r w:rsidRPr="00B010F5">
        <w:rPr>
          <w:rFonts w:ascii="Book Antiqua" w:hAnsi="Book Antiqua"/>
          <w:sz w:val="23"/>
          <w:szCs w:val="23"/>
          <w:u w:val="single"/>
        </w:rPr>
        <w:t>Section 4</w:t>
      </w:r>
      <w:r>
        <w:rPr>
          <w:rFonts w:ascii="Book Antiqua" w:hAnsi="Book Antiqua"/>
          <w:sz w:val="23"/>
          <w:szCs w:val="23"/>
        </w:rPr>
        <w:t> :</w:t>
      </w:r>
      <w:r w:rsidR="00DB630A">
        <w:rPr>
          <w:rFonts w:ascii="Book Antiqua" w:hAnsi="Book Antiqua"/>
          <w:sz w:val="23"/>
          <w:szCs w:val="23"/>
        </w:rPr>
        <w:t xml:space="preserve"> Adapter</w:t>
      </w:r>
      <w:r>
        <w:rPr>
          <w:rFonts w:ascii="Book Antiqua" w:hAnsi="Book Antiqua"/>
          <w:sz w:val="23"/>
          <w:szCs w:val="23"/>
        </w:rPr>
        <w:t xml:space="preserve"> l’OMC au</w:t>
      </w:r>
      <w:r w:rsidR="00DB630A">
        <w:rPr>
          <w:rFonts w:ascii="Book Antiqua" w:hAnsi="Book Antiqua"/>
          <w:sz w:val="23"/>
          <w:szCs w:val="23"/>
        </w:rPr>
        <w:t xml:space="preserve">x nouvelles réalités du commerce international ? </w:t>
      </w:r>
    </w:p>
    <w:p w:rsidR="00DB630A" w:rsidRDefault="00DB630A" w:rsidP="006C0D20">
      <w:pPr>
        <w:tabs>
          <w:tab w:val="left" w:pos="1095"/>
        </w:tabs>
        <w:rPr>
          <w:rFonts w:ascii="Book Antiqua" w:hAnsi="Book Antiqua"/>
          <w:sz w:val="23"/>
          <w:szCs w:val="23"/>
        </w:rPr>
      </w:pPr>
    </w:p>
    <w:p w:rsidR="00DB630A" w:rsidRPr="00031858" w:rsidRDefault="00E53A6E" w:rsidP="006C0D20">
      <w:pPr>
        <w:tabs>
          <w:tab w:val="left" w:pos="1095"/>
        </w:tabs>
        <w:rPr>
          <w:rFonts w:ascii="Book Antiqua" w:hAnsi="Book Antiqua"/>
          <w:smallCaps/>
          <w:sz w:val="23"/>
          <w:szCs w:val="23"/>
        </w:rPr>
      </w:pPr>
      <w:r w:rsidRPr="00031858">
        <w:rPr>
          <w:rFonts w:ascii="Book Antiqua" w:hAnsi="Book Antiqua"/>
          <w:smallCaps/>
          <w:sz w:val="23"/>
          <w:szCs w:val="23"/>
        </w:rPr>
        <w:t xml:space="preserve">Deuxième Partie : La multiplication des accords commerciaux bilatéraux </w:t>
      </w:r>
    </w:p>
    <w:p w:rsidR="003C69A6" w:rsidRDefault="003C69A6" w:rsidP="006C0D20">
      <w:pPr>
        <w:tabs>
          <w:tab w:val="left" w:pos="1095"/>
        </w:tabs>
        <w:rPr>
          <w:rFonts w:ascii="Book Antiqua" w:hAnsi="Book Antiqua"/>
          <w:b/>
          <w:sz w:val="23"/>
          <w:szCs w:val="23"/>
        </w:rPr>
      </w:pPr>
    </w:p>
    <w:p w:rsidR="00E53A6E" w:rsidRDefault="007D2B3B" w:rsidP="006C0D20">
      <w:pPr>
        <w:tabs>
          <w:tab w:val="left" w:pos="1095"/>
        </w:tabs>
        <w:rPr>
          <w:rFonts w:ascii="Book Antiqua" w:hAnsi="Book Antiqua"/>
          <w:sz w:val="23"/>
          <w:szCs w:val="23"/>
        </w:rPr>
      </w:pPr>
      <w:r w:rsidRPr="00B010F5">
        <w:rPr>
          <w:rFonts w:ascii="Book Antiqua" w:hAnsi="Book Antiqua"/>
          <w:b/>
          <w:sz w:val="23"/>
          <w:szCs w:val="23"/>
        </w:rPr>
        <w:t xml:space="preserve">Chapitre </w:t>
      </w:r>
      <w:r w:rsidR="00E53A6E" w:rsidRPr="00B010F5">
        <w:rPr>
          <w:rFonts w:ascii="Book Antiqua" w:hAnsi="Book Antiqua"/>
          <w:b/>
          <w:sz w:val="23"/>
          <w:szCs w:val="23"/>
        </w:rPr>
        <w:t>1</w:t>
      </w:r>
      <w:r w:rsidR="00E53A6E">
        <w:rPr>
          <w:rFonts w:ascii="Book Antiqua" w:hAnsi="Book Antiqua"/>
          <w:sz w:val="23"/>
          <w:szCs w:val="23"/>
        </w:rPr>
        <w:t> : La nouvelle vague des accords commerciaux bilatéraux</w:t>
      </w:r>
    </w:p>
    <w:p w:rsidR="003C69A6" w:rsidRDefault="003C69A6" w:rsidP="006C0D20">
      <w:pPr>
        <w:tabs>
          <w:tab w:val="left" w:pos="1095"/>
        </w:tabs>
        <w:rPr>
          <w:rFonts w:ascii="Book Antiqua" w:hAnsi="Book Antiqua"/>
          <w:b/>
          <w:sz w:val="23"/>
          <w:szCs w:val="23"/>
        </w:rPr>
      </w:pPr>
    </w:p>
    <w:p w:rsidR="00E53A6E" w:rsidRDefault="007D2B3B" w:rsidP="006C0D20">
      <w:pPr>
        <w:tabs>
          <w:tab w:val="left" w:pos="1095"/>
        </w:tabs>
        <w:rPr>
          <w:rFonts w:ascii="Book Antiqua" w:hAnsi="Book Antiqua"/>
          <w:sz w:val="23"/>
          <w:szCs w:val="23"/>
        </w:rPr>
      </w:pPr>
      <w:r w:rsidRPr="00B010F5">
        <w:rPr>
          <w:rFonts w:ascii="Book Antiqua" w:hAnsi="Book Antiqua"/>
          <w:b/>
          <w:sz w:val="23"/>
          <w:szCs w:val="23"/>
        </w:rPr>
        <w:t xml:space="preserve">Chapitre </w:t>
      </w:r>
      <w:r w:rsidR="00E53A6E" w:rsidRPr="00B010F5">
        <w:rPr>
          <w:rFonts w:ascii="Book Antiqua" w:hAnsi="Book Antiqua"/>
          <w:b/>
          <w:sz w:val="23"/>
          <w:szCs w:val="23"/>
        </w:rPr>
        <w:t>2</w:t>
      </w:r>
      <w:r w:rsidR="00E53A6E">
        <w:rPr>
          <w:rFonts w:ascii="Book Antiqua" w:hAnsi="Book Antiqua"/>
          <w:sz w:val="23"/>
          <w:szCs w:val="23"/>
        </w:rPr>
        <w:t> : La diversité des ACR</w:t>
      </w:r>
    </w:p>
    <w:p w:rsidR="00E53A6E" w:rsidRDefault="007D2B3B" w:rsidP="006C0D20">
      <w:pPr>
        <w:tabs>
          <w:tab w:val="left" w:pos="1095"/>
        </w:tabs>
        <w:rPr>
          <w:rFonts w:ascii="Book Antiqua" w:hAnsi="Book Antiqua"/>
          <w:sz w:val="23"/>
          <w:szCs w:val="23"/>
        </w:rPr>
      </w:pPr>
      <w:r w:rsidRPr="00B010F5">
        <w:rPr>
          <w:rFonts w:ascii="Book Antiqua" w:hAnsi="Book Antiqua"/>
          <w:sz w:val="23"/>
          <w:szCs w:val="23"/>
          <w:u w:val="single"/>
        </w:rPr>
        <w:t xml:space="preserve">Section </w:t>
      </w:r>
      <w:r w:rsidR="00E53A6E" w:rsidRPr="00B010F5">
        <w:rPr>
          <w:rFonts w:ascii="Book Antiqua" w:hAnsi="Book Antiqua"/>
          <w:sz w:val="23"/>
          <w:szCs w:val="23"/>
          <w:u w:val="single"/>
        </w:rPr>
        <w:t>1</w:t>
      </w:r>
      <w:r w:rsidR="00B010F5">
        <w:rPr>
          <w:rFonts w:ascii="Book Antiqua" w:hAnsi="Book Antiqua"/>
          <w:sz w:val="23"/>
          <w:szCs w:val="23"/>
        </w:rPr>
        <w:t> :</w:t>
      </w:r>
      <w:r w:rsidR="00E53A6E">
        <w:rPr>
          <w:rFonts w:ascii="Book Antiqua" w:hAnsi="Book Antiqua"/>
          <w:sz w:val="23"/>
          <w:szCs w:val="23"/>
        </w:rPr>
        <w:t xml:space="preserve"> Un champ d’application à géométrie variable</w:t>
      </w:r>
    </w:p>
    <w:p w:rsidR="00E53A6E" w:rsidRDefault="007D2B3B" w:rsidP="006C0D20">
      <w:pPr>
        <w:tabs>
          <w:tab w:val="left" w:pos="1095"/>
        </w:tabs>
        <w:rPr>
          <w:rFonts w:ascii="Book Antiqua" w:hAnsi="Book Antiqua"/>
          <w:sz w:val="23"/>
          <w:szCs w:val="23"/>
        </w:rPr>
      </w:pPr>
      <w:r w:rsidRPr="00B010F5">
        <w:rPr>
          <w:rFonts w:ascii="Book Antiqua" w:hAnsi="Book Antiqua"/>
          <w:sz w:val="23"/>
          <w:szCs w:val="23"/>
          <w:u w:val="single"/>
        </w:rPr>
        <w:t xml:space="preserve">Section </w:t>
      </w:r>
      <w:r w:rsidR="00E53A6E" w:rsidRPr="00B010F5">
        <w:rPr>
          <w:rFonts w:ascii="Book Antiqua" w:hAnsi="Book Antiqua"/>
          <w:sz w:val="23"/>
          <w:szCs w:val="23"/>
          <w:u w:val="single"/>
        </w:rPr>
        <w:t>2</w:t>
      </w:r>
      <w:r w:rsidR="00B010F5">
        <w:rPr>
          <w:rFonts w:ascii="Book Antiqua" w:hAnsi="Book Antiqua"/>
          <w:sz w:val="23"/>
          <w:szCs w:val="23"/>
        </w:rPr>
        <w:t> :</w:t>
      </w:r>
      <w:r w:rsidR="00E53A6E">
        <w:rPr>
          <w:rFonts w:ascii="Book Antiqua" w:hAnsi="Book Antiqua"/>
          <w:sz w:val="23"/>
          <w:szCs w:val="23"/>
        </w:rPr>
        <w:t xml:space="preserve"> Concurrence et rivalité </w:t>
      </w:r>
      <w:r w:rsidR="00DB0F69">
        <w:rPr>
          <w:rFonts w:ascii="Book Antiqua" w:hAnsi="Book Antiqua"/>
          <w:sz w:val="23"/>
          <w:szCs w:val="23"/>
        </w:rPr>
        <w:t xml:space="preserve">entre les </w:t>
      </w:r>
      <w:r w:rsidR="00E53A6E">
        <w:rPr>
          <w:rFonts w:ascii="Book Antiqua" w:hAnsi="Book Antiqua"/>
          <w:sz w:val="23"/>
          <w:szCs w:val="23"/>
        </w:rPr>
        <w:t>modèles conventionnels</w:t>
      </w:r>
    </w:p>
    <w:p w:rsidR="00E53A6E" w:rsidRDefault="007D2B3B" w:rsidP="006C0D20">
      <w:pPr>
        <w:tabs>
          <w:tab w:val="left" w:pos="1095"/>
        </w:tabs>
        <w:rPr>
          <w:rFonts w:ascii="Book Antiqua" w:hAnsi="Book Antiqua"/>
          <w:sz w:val="23"/>
          <w:szCs w:val="23"/>
        </w:rPr>
      </w:pPr>
      <w:r w:rsidRPr="00B010F5">
        <w:rPr>
          <w:rFonts w:ascii="Book Antiqua" w:hAnsi="Book Antiqua"/>
          <w:b/>
          <w:sz w:val="23"/>
          <w:szCs w:val="23"/>
        </w:rPr>
        <w:t xml:space="preserve">Chapitre </w:t>
      </w:r>
      <w:r w:rsidR="00E53A6E" w:rsidRPr="00B010F5">
        <w:rPr>
          <w:rFonts w:ascii="Book Antiqua" w:hAnsi="Book Antiqua"/>
          <w:b/>
          <w:sz w:val="23"/>
          <w:szCs w:val="23"/>
        </w:rPr>
        <w:t>3</w:t>
      </w:r>
      <w:r w:rsidR="00E53A6E">
        <w:rPr>
          <w:rFonts w:ascii="Book Antiqua" w:hAnsi="Book Antiqua"/>
          <w:sz w:val="23"/>
          <w:szCs w:val="23"/>
        </w:rPr>
        <w:t xml:space="preserve"> : L’approche européenne du libre-échange </w:t>
      </w:r>
    </w:p>
    <w:p w:rsidR="00762ADF" w:rsidRDefault="007D2B3B" w:rsidP="006C0D20">
      <w:pPr>
        <w:tabs>
          <w:tab w:val="left" w:pos="1095"/>
        </w:tabs>
        <w:rPr>
          <w:rFonts w:ascii="Book Antiqua" w:hAnsi="Book Antiqua"/>
          <w:sz w:val="23"/>
          <w:szCs w:val="23"/>
        </w:rPr>
      </w:pPr>
      <w:r w:rsidRPr="00B010F5">
        <w:rPr>
          <w:rFonts w:ascii="Book Antiqua" w:hAnsi="Book Antiqua"/>
          <w:sz w:val="23"/>
          <w:szCs w:val="23"/>
          <w:u w:val="single"/>
        </w:rPr>
        <w:t>Section 1</w:t>
      </w:r>
      <w:r>
        <w:rPr>
          <w:rFonts w:ascii="Book Antiqua" w:hAnsi="Book Antiqua"/>
          <w:sz w:val="23"/>
          <w:szCs w:val="23"/>
        </w:rPr>
        <w:t> :</w:t>
      </w:r>
      <w:r w:rsidR="00C6433E">
        <w:rPr>
          <w:rFonts w:ascii="Book Antiqua" w:hAnsi="Book Antiqua"/>
          <w:sz w:val="23"/>
          <w:szCs w:val="23"/>
        </w:rPr>
        <w:t xml:space="preserve"> Une politique conventionnelle </w:t>
      </w:r>
      <w:r w:rsidR="00DB0F69">
        <w:rPr>
          <w:rFonts w:ascii="Book Antiqua" w:hAnsi="Book Antiqua"/>
          <w:sz w:val="23"/>
          <w:szCs w:val="23"/>
        </w:rPr>
        <w:t xml:space="preserve">de l’UE </w:t>
      </w:r>
      <w:r w:rsidR="00C6433E">
        <w:rPr>
          <w:rFonts w:ascii="Book Antiqua" w:hAnsi="Book Antiqua"/>
          <w:sz w:val="23"/>
          <w:szCs w:val="23"/>
        </w:rPr>
        <w:t>ancienne et dynamique</w:t>
      </w:r>
    </w:p>
    <w:p w:rsidR="00C6433E" w:rsidRDefault="007D2B3B" w:rsidP="006C0D20">
      <w:pPr>
        <w:tabs>
          <w:tab w:val="left" w:pos="1095"/>
        </w:tabs>
        <w:rPr>
          <w:rFonts w:ascii="Book Antiqua" w:hAnsi="Book Antiqua"/>
          <w:sz w:val="23"/>
          <w:szCs w:val="23"/>
        </w:rPr>
      </w:pPr>
      <w:r w:rsidRPr="00B010F5">
        <w:rPr>
          <w:rFonts w:ascii="Book Antiqua" w:hAnsi="Book Antiqua"/>
          <w:sz w:val="23"/>
          <w:szCs w:val="23"/>
          <w:u w:val="single"/>
        </w:rPr>
        <w:lastRenderedPageBreak/>
        <w:t>Section 2</w:t>
      </w:r>
      <w:r>
        <w:rPr>
          <w:rFonts w:ascii="Book Antiqua" w:hAnsi="Book Antiqua"/>
          <w:sz w:val="23"/>
          <w:szCs w:val="23"/>
        </w:rPr>
        <w:t> :</w:t>
      </w:r>
      <w:r w:rsidR="00C6433E">
        <w:rPr>
          <w:rFonts w:ascii="Book Antiqua" w:hAnsi="Book Antiqua"/>
          <w:sz w:val="23"/>
          <w:szCs w:val="23"/>
        </w:rPr>
        <w:t xml:space="preserve"> Caractéristiques du modèle conventionnel </w:t>
      </w:r>
      <w:r w:rsidR="00DB0F69">
        <w:rPr>
          <w:rFonts w:ascii="Book Antiqua" w:hAnsi="Book Antiqua"/>
          <w:sz w:val="23"/>
          <w:szCs w:val="23"/>
        </w:rPr>
        <w:t>libre-échangiste de l’UE</w:t>
      </w:r>
    </w:p>
    <w:p w:rsidR="00C6433E" w:rsidRDefault="00C6433E" w:rsidP="00C6433E">
      <w:pPr>
        <w:pStyle w:val="Paragraphedeliste"/>
        <w:numPr>
          <w:ilvl w:val="0"/>
          <w:numId w:val="1"/>
        </w:numPr>
        <w:tabs>
          <w:tab w:val="left" w:pos="1095"/>
        </w:tabs>
        <w:rPr>
          <w:rFonts w:ascii="Book Antiqua" w:hAnsi="Book Antiqua"/>
          <w:sz w:val="23"/>
          <w:szCs w:val="23"/>
        </w:rPr>
      </w:pPr>
      <w:r>
        <w:rPr>
          <w:rFonts w:ascii="Book Antiqua" w:hAnsi="Book Antiqua"/>
          <w:sz w:val="23"/>
          <w:szCs w:val="23"/>
        </w:rPr>
        <w:t>Libéralisation du commerce des marchandises et des services</w:t>
      </w:r>
    </w:p>
    <w:p w:rsidR="00C6433E" w:rsidRDefault="00C6433E" w:rsidP="00C6433E">
      <w:pPr>
        <w:pStyle w:val="Paragraphedeliste"/>
        <w:numPr>
          <w:ilvl w:val="0"/>
          <w:numId w:val="1"/>
        </w:numPr>
        <w:tabs>
          <w:tab w:val="left" w:pos="1095"/>
        </w:tabs>
        <w:rPr>
          <w:rFonts w:ascii="Book Antiqua" w:hAnsi="Book Antiqua"/>
          <w:sz w:val="23"/>
          <w:szCs w:val="23"/>
        </w:rPr>
      </w:pPr>
      <w:r>
        <w:rPr>
          <w:rFonts w:ascii="Book Antiqua" w:hAnsi="Book Antiqua"/>
          <w:sz w:val="23"/>
          <w:szCs w:val="23"/>
        </w:rPr>
        <w:t>Une approche particulière de certains sujets : le cas du commerce électronique</w:t>
      </w:r>
    </w:p>
    <w:p w:rsidR="00C6433E" w:rsidRPr="00C6433E" w:rsidRDefault="007D2B3B" w:rsidP="00C6433E">
      <w:pPr>
        <w:pStyle w:val="Paragraphedeliste"/>
        <w:numPr>
          <w:ilvl w:val="0"/>
          <w:numId w:val="1"/>
        </w:numPr>
        <w:tabs>
          <w:tab w:val="left" w:pos="1095"/>
        </w:tabs>
        <w:rPr>
          <w:rFonts w:ascii="Book Antiqua" w:hAnsi="Book Antiqua"/>
          <w:sz w:val="23"/>
          <w:szCs w:val="23"/>
        </w:rPr>
      </w:pPr>
      <w:r>
        <w:rPr>
          <w:rFonts w:ascii="Book Antiqua" w:hAnsi="Book Antiqua"/>
          <w:sz w:val="23"/>
          <w:szCs w:val="23"/>
        </w:rPr>
        <w:t>La dimension extra-commerciale des ALE de l’Union : le cas des chapitres sur le développement durable</w:t>
      </w:r>
      <w:r w:rsidR="00C6433E" w:rsidRPr="00C6433E">
        <w:rPr>
          <w:rFonts w:ascii="Book Antiqua" w:hAnsi="Book Antiqua"/>
          <w:sz w:val="23"/>
          <w:szCs w:val="23"/>
        </w:rPr>
        <w:t xml:space="preserve"> </w:t>
      </w:r>
    </w:p>
    <w:p w:rsidR="00762ADF" w:rsidRDefault="00762ADF" w:rsidP="006C0D20">
      <w:pPr>
        <w:tabs>
          <w:tab w:val="left" w:pos="1095"/>
        </w:tabs>
        <w:rPr>
          <w:rFonts w:ascii="Book Antiqua" w:hAnsi="Book Antiqua"/>
          <w:sz w:val="23"/>
          <w:szCs w:val="23"/>
        </w:rPr>
      </w:pPr>
    </w:p>
    <w:p w:rsidR="00E53A6E" w:rsidRPr="00031858" w:rsidRDefault="007D2B3B" w:rsidP="006C0D20">
      <w:pPr>
        <w:tabs>
          <w:tab w:val="left" w:pos="1095"/>
        </w:tabs>
        <w:rPr>
          <w:rFonts w:ascii="Book Antiqua" w:hAnsi="Book Antiqua"/>
          <w:smallCaps/>
          <w:sz w:val="23"/>
          <w:szCs w:val="23"/>
        </w:rPr>
      </w:pPr>
      <w:r w:rsidRPr="00031858">
        <w:rPr>
          <w:rFonts w:ascii="Book Antiqua" w:hAnsi="Book Antiqua"/>
          <w:smallCaps/>
          <w:sz w:val="23"/>
          <w:szCs w:val="23"/>
        </w:rPr>
        <w:t>Troisième Partie : Gouverner le commerce international par l’unilatéralisme</w:t>
      </w:r>
    </w:p>
    <w:p w:rsidR="007D2B3B" w:rsidRDefault="007D2B3B" w:rsidP="006C0D20">
      <w:pPr>
        <w:tabs>
          <w:tab w:val="left" w:pos="1095"/>
        </w:tabs>
        <w:rPr>
          <w:rFonts w:ascii="Book Antiqua" w:hAnsi="Book Antiqua"/>
          <w:sz w:val="23"/>
          <w:szCs w:val="23"/>
        </w:rPr>
      </w:pPr>
    </w:p>
    <w:p w:rsidR="007D2B3B" w:rsidRDefault="007D2B3B" w:rsidP="006C0D20">
      <w:pPr>
        <w:tabs>
          <w:tab w:val="left" w:pos="1095"/>
        </w:tabs>
        <w:rPr>
          <w:rFonts w:ascii="Book Antiqua" w:hAnsi="Book Antiqua"/>
          <w:sz w:val="23"/>
          <w:szCs w:val="23"/>
        </w:rPr>
      </w:pPr>
      <w:r w:rsidRPr="00B010F5">
        <w:rPr>
          <w:rFonts w:ascii="Book Antiqua" w:hAnsi="Book Antiqua"/>
          <w:b/>
          <w:sz w:val="23"/>
          <w:szCs w:val="23"/>
        </w:rPr>
        <w:t>Chapitre 1</w:t>
      </w:r>
      <w:r>
        <w:rPr>
          <w:rFonts w:ascii="Book Antiqua" w:hAnsi="Book Antiqua"/>
          <w:sz w:val="23"/>
          <w:szCs w:val="23"/>
        </w:rPr>
        <w:t xml:space="preserve"> : </w:t>
      </w:r>
      <w:r w:rsidR="00031858">
        <w:rPr>
          <w:rFonts w:ascii="Book Antiqua" w:hAnsi="Book Antiqua"/>
          <w:sz w:val="23"/>
          <w:szCs w:val="23"/>
        </w:rPr>
        <w:t>Le recours traditionnel aux mesures unilatérales pour réguler les échanges</w:t>
      </w:r>
      <w:r w:rsidR="003C69A6">
        <w:rPr>
          <w:rFonts w:ascii="Book Antiqua" w:hAnsi="Book Antiqua"/>
          <w:sz w:val="23"/>
          <w:szCs w:val="23"/>
        </w:rPr>
        <w:t xml:space="preserve"> (exemple européen)</w:t>
      </w:r>
    </w:p>
    <w:p w:rsidR="00031858" w:rsidRDefault="00031858" w:rsidP="00031858">
      <w:pPr>
        <w:tabs>
          <w:tab w:val="left" w:pos="1095"/>
        </w:tabs>
        <w:rPr>
          <w:rFonts w:ascii="Book Antiqua" w:hAnsi="Book Antiqua"/>
          <w:sz w:val="23"/>
          <w:szCs w:val="23"/>
        </w:rPr>
      </w:pPr>
      <w:r w:rsidRPr="00B010F5">
        <w:rPr>
          <w:rFonts w:ascii="Book Antiqua" w:hAnsi="Book Antiqua"/>
          <w:sz w:val="23"/>
          <w:szCs w:val="23"/>
          <w:u w:val="single"/>
        </w:rPr>
        <w:t>Section 1</w:t>
      </w:r>
      <w:r>
        <w:rPr>
          <w:rFonts w:ascii="Book Antiqua" w:hAnsi="Book Antiqua"/>
          <w:sz w:val="23"/>
          <w:szCs w:val="23"/>
        </w:rPr>
        <w:t> : Les mesures de mise en conformité avec les engagements internationaux (législations et mesures douanières)</w:t>
      </w:r>
    </w:p>
    <w:p w:rsidR="00031858" w:rsidRDefault="00031858" w:rsidP="00031858">
      <w:pPr>
        <w:tabs>
          <w:tab w:val="left" w:pos="1095"/>
        </w:tabs>
        <w:rPr>
          <w:rFonts w:ascii="Book Antiqua" w:hAnsi="Book Antiqua"/>
          <w:sz w:val="23"/>
          <w:szCs w:val="23"/>
        </w:rPr>
      </w:pPr>
      <w:r w:rsidRPr="00B010F5">
        <w:rPr>
          <w:rFonts w:ascii="Book Antiqua" w:hAnsi="Book Antiqua"/>
          <w:sz w:val="23"/>
          <w:szCs w:val="23"/>
          <w:u w:val="single"/>
        </w:rPr>
        <w:t>Section 2</w:t>
      </w:r>
      <w:r>
        <w:rPr>
          <w:rFonts w:ascii="Book Antiqua" w:hAnsi="Book Antiqua"/>
          <w:sz w:val="23"/>
          <w:szCs w:val="23"/>
        </w:rPr>
        <w:t> : Les mesures autorisées au titre des engagements internationaux</w:t>
      </w:r>
    </w:p>
    <w:p w:rsidR="00031858" w:rsidRDefault="00031858" w:rsidP="00031858">
      <w:pPr>
        <w:tabs>
          <w:tab w:val="left" w:pos="1095"/>
        </w:tabs>
        <w:rPr>
          <w:rFonts w:ascii="Book Antiqua" w:hAnsi="Book Antiqua"/>
          <w:sz w:val="23"/>
          <w:szCs w:val="23"/>
        </w:rPr>
      </w:pPr>
      <w:r>
        <w:rPr>
          <w:rFonts w:ascii="Book Antiqua" w:hAnsi="Book Antiqua"/>
          <w:sz w:val="23"/>
          <w:szCs w:val="23"/>
        </w:rPr>
        <w:t>§1. Les mesures de défense commerciale</w:t>
      </w:r>
    </w:p>
    <w:p w:rsidR="00031858" w:rsidRDefault="00031858" w:rsidP="00031858">
      <w:pPr>
        <w:tabs>
          <w:tab w:val="left" w:pos="1095"/>
        </w:tabs>
        <w:rPr>
          <w:rFonts w:ascii="Book Antiqua" w:hAnsi="Book Antiqua"/>
          <w:sz w:val="23"/>
          <w:szCs w:val="23"/>
        </w:rPr>
      </w:pPr>
      <w:r>
        <w:rPr>
          <w:rFonts w:ascii="Book Antiqua" w:hAnsi="Book Antiqua"/>
          <w:sz w:val="23"/>
          <w:szCs w:val="23"/>
        </w:rPr>
        <w:t>§2. Les préférences tarifaires (l’exemple du système de préférence de l’UE)</w:t>
      </w:r>
    </w:p>
    <w:p w:rsidR="003C69A6" w:rsidRDefault="003C69A6" w:rsidP="00031858">
      <w:pPr>
        <w:tabs>
          <w:tab w:val="left" w:pos="1095"/>
        </w:tabs>
        <w:rPr>
          <w:rFonts w:ascii="Book Antiqua" w:hAnsi="Book Antiqua"/>
          <w:sz w:val="23"/>
          <w:szCs w:val="23"/>
        </w:rPr>
      </w:pPr>
      <w:r>
        <w:rPr>
          <w:rFonts w:ascii="Book Antiqua" w:hAnsi="Book Antiqua"/>
          <w:sz w:val="23"/>
          <w:szCs w:val="23"/>
        </w:rPr>
        <w:t>§3. La mise en œuvre des sanctions autorisées par l’ORD</w:t>
      </w:r>
    </w:p>
    <w:p w:rsidR="00031858" w:rsidRDefault="00031858" w:rsidP="00031858">
      <w:pPr>
        <w:tabs>
          <w:tab w:val="left" w:pos="1095"/>
        </w:tabs>
        <w:rPr>
          <w:rFonts w:ascii="Book Antiqua" w:hAnsi="Book Antiqua"/>
          <w:sz w:val="23"/>
          <w:szCs w:val="23"/>
        </w:rPr>
      </w:pPr>
    </w:p>
    <w:p w:rsidR="00031858" w:rsidRDefault="00031858" w:rsidP="00031858">
      <w:pPr>
        <w:tabs>
          <w:tab w:val="left" w:pos="1095"/>
        </w:tabs>
        <w:rPr>
          <w:rFonts w:ascii="Book Antiqua" w:hAnsi="Book Antiqua"/>
          <w:sz w:val="23"/>
          <w:szCs w:val="23"/>
        </w:rPr>
      </w:pPr>
      <w:r w:rsidRPr="00B010F5">
        <w:rPr>
          <w:rFonts w:ascii="Book Antiqua" w:hAnsi="Book Antiqua"/>
          <w:b/>
          <w:sz w:val="23"/>
          <w:szCs w:val="23"/>
        </w:rPr>
        <w:t>Chapitre 2</w:t>
      </w:r>
      <w:r>
        <w:rPr>
          <w:rFonts w:ascii="Book Antiqua" w:hAnsi="Book Antiqua"/>
          <w:sz w:val="23"/>
          <w:szCs w:val="23"/>
        </w:rPr>
        <w:t> :</w:t>
      </w:r>
      <w:r w:rsidR="00B010F5">
        <w:rPr>
          <w:rFonts w:ascii="Book Antiqua" w:hAnsi="Book Antiqua"/>
          <w:sz w:val="23"/>
          <w:szCs w:val="23"/>
        </w:rPr>
        <w:t xml:space="preserve"> </w:t>
      </w:r>
      <w:r w:rsidR="003C69A6">
        <w:rPr>
          <w:rFonts w:ascii="Book Antiqua" w:hAnsi="Book Antiqua"/>
          <w:sz w:val="23"/>
          <w:szCs w:val="23"/>
        </w:rPr>
        <w:t>L’é</w:t>
      </w:r>
      <w:r w:rsidR="00B010F5">
        <w:rPr>
          <w:rFonts w:ascii="Book Antiqua" w:hAnsi="Book Antiqua"/>
          <w:sz w:val="23"/>
          <w:szCs w:val="23"/>
        </w:rPr>
        <w:t xml:space="preserve">mergence </w:t>
      </w:r>
      <w:r>
        <w:rPr>
          <w:rFonts w:ascii="Book Antiqua" w:hAnsi="Book Antiqua"/>
          <w:sz w:val="23"/>
          <w:szCs w:val="23"/>
        </w:rPr>
        <w:t>d’un néo-unilatéralisme dans le domaine du commerce international</w:t>
      </w:r>
      <w:r w:rsidR="003C69A6">
        <w:rPr>
          <w:rFonts w:ascii="Book Antiqua" w:hAnsi="Book Antiqua"/>
          <w:sz w:val="23"/>
          <w:szCs w:val="23"/>
        </w:rPr>
        <w:t xml:space="preserve"> (exemple européen)</w:t>
      </w:r>
    </w:p>
    <w:p w:rsidR="00B010F5" w:rsidRDefault="00B010F5" w:rsidP="00031858">
      <w:pPr>
        <w:tabs>
          <w:tab w:val="left" w:pos="1095"/>
        </w:tabs>
        <w:rPr>
          <w:rFonts w:ascii="Book Antiqua" w:hAnsi="Book Antiqua"/>
          <w:sz w:val="23"/>
          <w:szCs w:val="23"/>
        </w:rPr>
      </w:pPr>
      <w:r w:rsidRPr="00B010F5">
        <w:rPr>
          <w:rFonts w:ascii="Book Antiqua" w:hAnsi="Book Antiqua"/>
          <w:sz w:val="23"/>
          <w:szCs w:val="23"/>
          <w:u w:val="single"/>
        </w:rPr>
        <w:t>Section 1</w:t>
      </w:r>
      <w:r>
        <w:rPr>
          <w:rFonts w:ascii="Book Antiqua" w:hAnsi="Book Antiqua"/>
          <w:sz w:val="23"/>
          <w:szCs w:val="23"/>
        </w:rPr>
        <w:t> : Définition du néo-unilatéralisme</w:t>
      </w:r>
    </w:p>
    <w:p w:rsidR="003C69A6" w:rsidRDefault="00B010F5" w:rsidP="003C69A6">
      <w:pPr>
        <w:tabs>
          <w:tab w:val="left" w:pos="1095"/>
        </w:tabs>
        <w:rPr>
          <w:rFonts w:ascii="Book Antiqua" w:hAnsi="Book Antiqua"/>
          <w:sz w:val="23"/>
          <w:szCs w:val="23"/>
        </w:rPr>
      </w:pPr>
      <w:r w:rsidRPr="00B010F5">
        <w:rPr>
          <w:rFonts w:ascii="Book Antiqua" w:hAnsi="Book Antiqua"/>
          <w:sz w:val="23"/>
          <w:szCs w:val="23"/>
          <w:u w:val="single"/>
        </w:rPr>
        <w:t>Section 2</w:t>
      </w:r>
      <w:r>
        <w:rPr>
          <w:rFonts w:ascii="Book Antiqua" w:hAnsi="Book Antiqua"/>
          <w:sz w:val="23"/>
          <w:szCs w:val="23"/>
        </w:rPr>
        <w:t> : Manifestation du néo-unilatéralisme</w:t>
      </w:r>
      <w:r w:rsidR="000A2504">
        <w:rPr>
          <w:rFonts w:ascii="Book Antiqua" w:hAnsi="Book Antiqua"/>
          <w:sz w:val="23"/>
          <w:szCs w:val="23"/>
        </w:rPr>
        <w:t xml:space="preserve"> </w:t>
      </w:r>
    </w:p>
    <w:p w:rsidR="003C69A6" w:rsidRPr="003C69A6" w:rsidRDefault="003C69A6" w:rsidP="003C69A6">
      <w:pPr>
        <w:pStyle w:val="Paragraphedeliste"/>
        <w:numPr>
          <w:ilvl w:val="0"/>
          <w:numId w:val="1"/>
        </w:numPr>
        <w:tabs>
          <w:tab w:val="left" w:pos="1095"/>
        </w:tabs>
        <w:rPr>
          <w:rFonts w:ascii="Book Antiqua" w:hAnsi="Book Antiqua"/>
          <w:sz w:val="23"/>
          <w:szCs w:val="23"/>
        </w:rPr>
      </w:pPr>
      <w:r w:rsidRPr="003C69A6">
        <w:rPr>
          <w:rFonts w:ascii="Book Antiqua" w:hAnsi="Book Antiqua"/>
          <w:sz w:val="23"/>
          <w:szCs w:val="23"/>
        </w:rPr>
        <w:t>La législation de filtrage des investissements étrangers</w:t>
      </w:r>
    </w:p>
    <w:p w:rsidR="00B010F5" w:rsidRDefault="00B010F5" w:rsidP="00B010F5">
      <w:pPr>
        <w:pStyle w:val="Paragraphedeliste"/>
        <w:numPr>
          <w:ilvl w:val="0"/>
          <w:numId w:val="1"/>
        </w:numPr>
        <w:tabs>
          <w:tab w:val="left" w:pos="1095"/>
        </w:tabs>
        <w:rPr>
          <w:rFonts w:ascii="Book Antiqua" w:hAnsi="Book Antiqua"/>
          <w:sz w:val="23"/>
          <w:szCs w:val="23"/>
        </w:rPr>
      </w:pPr>
      <w:r>
        <w:rPr>
          <w:rFonts w:ascii="Book Antiqua" w:hAnsi="Book Antiqua"/>
          <w:sz w:val="23"/>
          <w:szCs w:val="23"/>
        </w:rPr>
        <w:t>La mise en place d’un mécanisme d’ajustement carbone aux frontières</w:t>
      </w:r>
    </w:p>
    <w:p w:rsidR="00B010F5" w:rsidRPr="00A35127" w:rsidRDefault="00B010F5" w:rsidP="00A35127">
      <w:pPr>
        <w:pStyle w:val="Paragraphedeliste"/>
        <w:numPr>
          <w:ilvl w:val="0"/>
          <w:numId w:val="1"/>
        </w:numPr>
        <w:tabs>
          <w:tab w:val="left" w:pos="1095"/>
        </w:tabs>
        <w:rPr>
          <w:rFonts w:ascii="Book Antiqua" w:hAnsi="Book Antiqua"/>
          <w:sz w:val="23"/>
          <w:szCs w:val="23"/>
        </w:rPr>
      </w:pPr>
      <w:r>
        <w:rPr>
          <w:rFonts w:ascii="Book Antiqua" w:hAnsi="Book Antiqua"/>
          <w:sz w:val="23"/>
          <w:szCs w:val="23"/>
        </w:rPr>
        <w:t>La régulation européenne des chaines de valeur</w:t>
      </w:r>
      <w:r w:rsidR="00A35127">
        <w:rPr>
          <w:rFonts w:ascii="Book Antiqua" w:hAnsi="Book Antiqua"/>
          <w:sz w:val="23"/>
          <w:szCs w:val="23"/>
        </w:rPr>
        <w:t xml:space="preserve"> (</w:t>
      </w:r>
      <w:r w:rsidR="00A35127" w:rsidRPr="00A35127">
        <w:rPr>
          <w:rFonts w:ascii="Book Antiqua" w:hAnsi="Book Antiqua"/>
          <w:sz w:val="23"/>
          <w:szCs w:val="23"/>
        </w:rPr>
        <w:t>lutte contre la déforestation</w:t>
      </w:r>
      <w:r w:rsidR="00A35127">
        <w:rPr>
          <w:rFonts w:ascii="Book Antiqua" w:hAnsi="Book Antiqua"/>
          <w:sz w:val="23"/>
          <w:szCs w:val="23"/>
        </w:rPr>
        <w:t xml:space="preserve">, </w:t>
      </w:r>
      <w:r w:rsidRPr="00A35127">
        <w:rPr>
          <w:rFonts w:ascii="Book Antiqua" w:hAnsi="Book Antiqua"/>
          <w:sz w:val="23"/>
          <w:szCs w:val="23"/>
        </w:rPr>
        <w:t xml:space="preserve">interdiction </w:t>
      </w:r>
      <w:r w:rsidR="00A35127">
        <w:rPr>
          <w:rFonts w:ascii="Book Antiqua" w:hAnsi="Book Antiqua"/>
          <w:sz w:val="23"/>
          <w:szCs w:val="23"/>
        </w:rPr>
        <w:t xml:space="preserve">de commercer des produits issus </w:t>
      </w:r>
      <w:r w:rsidRPr="00A35127">
        <w:rPr>
          <w:rFonts w:ascii="Book Antiqua" w:hAnsi="Book Antiqua"/>
          <w:sz w:val="23"/>
          <w:szCs w:val="23"/>
        </w:rPr>
        <w:t>du travail forcé</w:t>
      </w:r>
      <w:r w:rsidR="00A35127">
        <w:rPr>
          <w:rFonts w:ascii="Book Antiqua" w:hAnsi="Book Antiqua"/>
          <w:sz w:val="23"/>
          <w:szCs w:val="23"/>
        </w:rPr>
        <w:t>, projet de directive sur le devoir de vigilance)</w:t>
      </w:r>
    </w:p>
    <w:p w:rsidR="00B010F5" w:rsidRDefault="00B010F5" w:rsidP="00B010F5">
      <w:pPr>
        <w:tabs>
          <w:tab w:val="left" w:pos="1095"/>
        </w:tabs>
        <w:rPr>
          <w:rFonts w:ascii="Book Antiqua" w:hAnsi="Book Antiqua"/>
          <w:sz w:val="23"/>
          <w:szCs w:val="23"/>
        </w:rPr>
      </w:pPr>
      <w:r>
        <w:rPr>
          <w:rFonts w:ascii="Book Antiqua" w:hAnsi="Book Antiqua"/>
          <w:sz w:val="23"/>
          <w:szCs w:val="23"/>
        </w:rPr>
        <w:br w:type="page"/>
      </w:r>
    </w:p>
    <w:p w:rsidR="00B010F5" w:rsidRPr="00B010F5" w:rsidRDefault="00B010F5" w:rsidP="000B3F99">
      <w:pPr>
        <w:pBdr>
          <w:bottom w:val="single" w:sz="4" w:space="1" w:color="auto"/>
        </w:pBdr>
        <w:tabs>
          <w:tab w:val="left" w:pos="1095"/>
        </w:tabs>
        <w:jc w:val="both"/>
        <w:rPr>
          <w:rFonts w:ascii="Book Antiqua" w:hAnsi="Book Antiqua"/>
          <w:caps/>
          <w:sz w:val="23"/>
          <w:szCs w:val="23"/>
        </w:rPr>
      </w:pPr>
      <w:r w:rsidRPr="00B010F5">
        <w:rPr>
          <w:rFonts w:ascii="Book Antiqua" w:hAnsi="Book Antiqua"/>
          <w:caps/>
          <w:sz w:val="23"/>
          <w:szCs w:val="23"/>
        </w:rPr>
        <w:lastRenderedPageBreak/>
        <w:t>Bibliographie</w:t>
      </w:r>
    </w:p>
    <w:p w:rsidR="000A2504" w:rsidRDefault="003951C0" w:rsidP="000B3F99">
      <w:pPr>
        <w:tabs>
          <w:tab w:val="left" w:pos="1095"/>
        </w:tabs>
        <w:jc w:val="both"/>
        <w:rPr>
          <w:rFonts w:ascii="Book Antiqua" w:hAnsi="Book Antiqua"/>
          <w:smallCaps/>
          <w:sz w:val="23"/>
          <w:szCs w:val="23"/>
        </w:rPr>
      </w:pPr>
      <w:r>
        <w:rPr>
          <w:rFonts w:ascii="Book Antiqua" w:hAnsi="Book Antiqua"/>
          <w:smallCaps/>
          <w:sz w:val="23"/>
          <w:szCs w:val="23"/>
        </w:rPr>
        <w:t xml:space="preserve">1° </w:t>
      </w:r>
      <w:r w:rsidR="000A2504" w:rsidRPr="000A2504">
        <w:rPr>
          <w:rFonts w:ascii="Book Antiqua" w:hAnsi="Book Antiqua"/>
          <w:smallCaps/>
          <w:sz w:val="23"/>
          <w:szCs w:val="23"/>
        </w:rPr>
        <w:t>Sélection de documents officiels</w:t>
      </w:r>
    </w:p>
    <w:p w:rsidR="0077474B" w:rsidRPr="0077474B" w:rsidRDefault="0077474B" w:rsidP="000B3F99">
      <w:pPr>
        <w:pStyle w:val="Paragraphedeliste"/>
        <w:numPr>
          <w:ilvl w:val="0"/>
          <w:numId w:val="22"/>
        </w:numPr>
        <w:tabs>
          <w:tab w:val="left" w:pos="1095"/>
        </w:tabs>
        <w:jc w:val="both"/>
        <w:rPr>
          <w:rFonts w:ascii="Book Antiqua" w:hAnsi="Book Antiqua"/>
          <w:smallCaps/>
          <w:sz w:val="23"/>
          <w:szCs w:val="23"/>
        </w:rPr>
      </w:pPr>
      <w:r>
        <w:rPr>
          <w:rFonts w:ascii="Book Antiqua" w:hAnsi="Book Antiqua"/>
          <w:smallCaps/>
          <w:sz w:val="23"/>
          <w:szCs w:val="23"/>
        </w:rPr>
        <w:t>Accords internationaux</w:t>
      </w:r>
    </w:p>
    <w:p w:rsidR="000A2504" w:rsidRDefault="00830E81" w:rsidP="000B3F99">
      <w:pPr>
        <w:tabs>
          <w:tab w:val="left" w:pos="1095"/>
        </w:tabs>
        <w:jc w:val="both"/>
        <w:rPr>
          <w:rFonts w:ascii="Book Antiqua" w:hAnsi="Book Antiqua"/>
          <w:sz w:val="23"/>
          <w:szCs w:val="23"/>
        </w:rPr>
      </w:pPr>
      <w:hyperlink r:id="rId8" w:history="1">
        <w:r w:rsidR="000A2504" w:rsidRPr="000A2504">
          <w:rPr>
            <w:rStyle w:val="Lienhypertexte"/>
            <w:rFonts w:ascii="Book Antiqua" w:hAnsi="Book Antiqua"/>
            <w:sz w:val="23"/>
            <w:szCs w:val="23"/>
          </w:rPr>
          <w:t>Accords de l’OMC et textes y annexés</w:t>
        </w:r>
      </w:hyperlink>
    </w:p>
    <w:p w:rsidR="003951C0" w:rsidRDefault="00830E81" w:rsidP="000B3F99">
      <w:pPr>
        <w:tabs>
          <w:tab w:val="left" w:pos="1095"/>
        </w:tabs>
        <w:jc w:val="both"/>
        <w:rPr>
          <w:rFonts w:ascii="Book Antiqua" w:hAnsi="Book Antiqua"/>
          <w:sz w:val="23"/>
          <w:szCs w:val="23"/>
        </w:rPr>
      </w:pPr>
      <w:hyperlink r:id="rId9" w:history="1">
        <w:r w:rsidR="003951C0" w:rsidRPr="003951C0">
          <w:rPr>
            <w:rStyle w:val="Lienhypertexte"/>
            <w:rFonts w:ascii="Book Antiqua" w:hAnsi="Book Antiqua"/>
            <w:sz w:val="23"/>
            <w:szCs w:val="23"/>
          </w:rPr>
          <w:t>Accords de libre-échange des Etats-Unis d’Amérique</w:t>
        </w:r>
      </w:hyperlink>
    </w:p>
    <w:p w:rsidR="003951C0" w:rsidRDefault="00830E81" w:rsidP="000B3F99">
      <w:pPr>
        <w:tabs>
          <w:tab w:val="left" w:pos="1095"/>
        </w:tabs>
        <w:jc w:val="both"/>
        <w:rPr>
          <w:rFonts w:ascii="Book Antiqua" w:hAnsi="Book Antiqua"/>
          <w:sz w:val="23"/>
          <w:szCs w:val="23"/>
        </w:rPr>
      </w:pPr>
      <w:hyperlink r:id="rId10" w:history="1">
        <w:r w:rsidR="0077474B" w:rsidRPr="0077474B">
          <w:rPr>
            <w:rStyle w:val="Lienhypertexte"/>
            <w:rFonts w:ascii="Book Antiqua" w:hAnsi="Book Antiqua"/>
            <w:sz w:val="23"/>
            <w:szCs w:val="23"/>
          </w:rPr>
          <w:t>Regional Comprehensive Partnership Agreement</w:t>
        </w:r>
      </w:hyperlink>
      <w:r w:rsidR="0077474B">
        <w:rPr>
          <w:rFonts w:ascii="Book Antiqua" w:hAnsi="Book Antiqua"/>
          <w:sz w:val="23"/>
          <w:szCs w:val="23"/>
        </w:rPr>
        <w:t xml:space="preserve"> </w:t>
      </w:r>
    </w:p>
    <w:p w:rsidR="000A2504" w:rsidRDefault="000A2504" w:rsidP="000B3F99">
      <w:pPr>
        <w:tabs>
          <w:tab w:val="left" w:pos="1095"/>
        </w:tabs>
        <w:jc w:val="both"/>
        <w:rPr>
          <w:rFonts w:ascii="Book Antiqua" w:hAnsi="Book Antiqua"/>
          <w:sz w:val="23"/>
          <w:szCs w:val="23"/>
        </w:rPr>
      </w:pPr>
      <w:r>
        <w:rPr>
          <w:rFonts w:ascii="Book Antiqua" w:hAnsi="Book Antiqua"/>
          <w:sz w:val="23"/>
          <w:szCs w:val="23"/>
        </w:rPr>
        <w:t xml:space="preserve">Accords de l’Union européenne : </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0A2504">
        <w:rPr>
          <w:rFonts w:ascii="Book Antiqua" w:hAnsi="Book Antiqua"/>
          <w:sz w:val="23"/>
          <w:szCs w:val="23"/>
        </w:rPr>
        <w:t>Accord de libre-échange entre l’Union européenne et ses États membres, d’une part, et la République de Corée, d’autre part, JO L 127, 14 mai 2011, pp. 6-1343</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intérimaire établissant le cadre d’un Accord de partenariat économique entre les États d’Afrique orientale et australe, d’une part, et la Communauté européenne et ses États membres, d’autre part, JO L 111, 24 avr. 2012, pp. 2-1172</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 xml:space="preserve">Accord établissant une association entre l’Union européenne et ses États membres, d’une part, et l’Amérique centrale, d’autre part, JO L 346, 15 déc.2012, pp. 3-2621 </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commercial entre l’Union européenne et ses États membres, d’une part, et la Colombie et le Pérou, d’autre part, JO L 354, 21 déc. 2012, pp. 5-2609</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de stabilisation et d’association entre les Communautés européennes et leurs États membres, d’une part, et la République de Serbie, d’autre part, JO L 278, 18 octobre 2013, pp. 14-471</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établissant une association entre l’Union européenne et ses États membres, d’une part, et l’Ukraine, d’autre part, JO L 161, 29 mai 2014, pp. 3-2137</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de partenariat économique d’étape entre le Ghana, d’une part, et la Communauté européenne et ses États membres, d’autre part, JO L 287, 21 oct. 2016, pp. 3-319</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 xml:space="preserve">Accord économique et commercial global (AECG) entre le Canada, d’une part, et l’Union européenne et ses États membres, d’autre part, JO L 11, 14 janvier 2017, pp. 23-1079 </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entre l’Union européenne et le Japon pour un partenariat économique, JO L 330, 27 déc. 2018, pp. 3-899</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de libre-échange entre l’Union européenne et la République de Singapour, JO L 294, 14 nov. 2019, pp. 3-755</w:t>
      </w:r>
    </w:p>
    <w:p w:rsid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de libre-échange entre l’Union européenne et la République socialiste du Viêt Nam, JOL 186, 12 juin 2020, pp. 3-1400</w:t>
      </w:r>
    </w:p>
    <w:p w:rsidR="000A2504" w:rsidRPr="003951C0" w:rsidRDefault="000A2504" w:rsidP="000B3F99">
      <w:pPr>
        <w:pStyle w:val="Paragraphedeliste"/>
        <w:numPr>
          <w:ilvl w:val="0"/>
          <w:numId w:val="1"/>
        </w:numPr>
        <w:tabs>
          <w:tab w:val="left" w:pos="1095"/>
        </w:tabs>
        <w:jc w:val="both"/>
        <w:rPr>
          <w:rFonts w:ascii="Book Antiqua" w:hAnsi="Book Antiqua"/>
          <w:sz w:val="23"/>
          <w:szCs w:val="23"/>
        </w:rPr>
      </w:pPr>
      <w:r w:rsidRPr="003951C0">
        <w:rPr>
          <w:rFonts w:ascii="Book Antiqua" w:hAnsi="Book Antiqua"/>
          <w:sz w:val="23"/>
          <w:szCs w:val="23"/>
        </w:rPr>
        <w:t>Accord de commerce et de coopération entre l’Union européenne et la Communauté européenne de l’énergie atomique, d’une part, et le Royaume-Uni de Grande-Bretagne et d’Irlande du Nord, d’autre part, JO L 149 du 30 avr. 2021, pp. 10-2539</w:t>
      </w:r>
    </w:p>
    <w:p w:rsidR="003951C0" w:rsidRDefault="003951C0" w:rsidP="000B3F99">
      <w:pPr>
        <w:tabs>
          <w:tab w:val="left" w:pos="1095"/>
        </w:tabs>
        <w:jc w:val="both"/>
        <w:rPr>
          <w:rFonts w:ascii="Book Antiqua" w:hAnsi="Book Antiqua"/>
          <w:sz w:val="23"/>
          <w:szCs w:val="23"/>
        </w:rPr>
      </w:pPr>
    </w:p>
    <w:p w:rsidR="0077474B" w:rsidRDefault="0077474B" w:rsidP="000B3F99">
      <w:pPr>
        <w:pStyle w:val="Paragraphedeliste"/>
        <w:numPr>
          <w:ilvl w:val="0"/>
          <w:numId w:val="22"/>
        </w:numPr>
        <w:tabs>
          <w:tab w:val="left" w:pos="1095"/>
        </w:tabs>
        <w:jc w:val="both"/>
        <w:rPr>
          <w:rFonts w:ascii="Book Antiqua" w:hAnsi="Book Antiqua"/>
          <w:sz w:val="23"/>
          <w:szCs w:val="23"/>
        </w:rPr>
      </w:pPr>
      <w:r>
        <w:rPr>
          <w:rFonts w:ascii="Book Antiqua" w:hAnsi="Book Antiqua"/>
          <w:sz w:val="23"/>
          <w:szCs w:val="23"/>
        </w:rPr>
        <w:t>Législation</w:t>
      </w:r>
      <w:r w:rsidR="002C1C29">
        <w:rPr>
          <w:rFonts w:ascii="Book Antiqua" w:hAnsi="Book Antiqua"/>
          <w:sz w:val="23"/>
          <w:szCs w:val="23"/>
        </w:rPr>
        <w:t>s</w:t>
      </w:r>
      <w:r>
        <w:rPr>
          <w:rFonts w:ascii="Book Antiqua" w:hAnsi="Book Antiqua"/>
          <w:sz w:val="23"/>
          <w:szCs w:val="23"/>
        </w:rPr>
        <w:t xml:space="preserve"> européenne</w:t>
      </w:r>
      <w:r w:rsidR="002C1C29">
        <w:rPr>
          <w:rFonts w:ascii="Book Antiqua" w:hAnsi="Book Antiqua"/>
          <w:sz w:val="23"/>
          <w:szCs w:val="23"/>
        </w:rPr>
        <w:t>s</w:t>
      </w:r>
      <w:r>
        <w:rPr>
          <w:rFonts w:ascii="Book Antiqua" w:hAnsi="Book Antiqua"/>
          <w:sz w:val="23"/>
          <w:szCs w:val="23"/>
        </w:rPr>
        <w:t xml:space="preserve"> pertinente</w:t>
      </w:r>
      <w:r w:rsidR="002C1C29">
        <w:rPr>
          <w:rFonts w:ascii="Book Antiqua" w:hAnsi="Book Antiqua"/>
          <w:sz w:val="23"/>
          <w:szCs w:val="23"/>
        </w:rPr>
        <w:t>s</w:t>
      </w:r>
    </w:p>
    <w:p w:rsidR="00CA6CAC" w:rsidRDefault="00CA6CAC" w:rsidP="000B3F99">
      <w:pPr>
        <w:pStyle w:val="Paragraphedeliste"/>
        <w:tabs>
          <w:tab w:val="left" w:pos="1095"/>
        </w:tabs>
        <w:jc w:val="both"/>
        <w:rPr>
          <w:rFonts w:ascii="Book Antiqua" w:hAnsi="Book Antiqua"/>
          <w:sz w:val="23"/>
          <w:szCs w:val="23"/>
        </w:rPr>
      </w:pPr>
    </w:p>
    <w:p w:rsidR="002C1C29" w:rsidRPr="002C1C29" w:rsidRDefault="002C1C29" w:rsidP="000B3F99">
      <w:pPr>
        <w:pStyle w:val="Paragraphedeliste"/>
        <w:numPr>
          <w:ilvl w:val="0"/>
          <w:numId w:val="1"/>
        </w:numPr>
        <w:tabs>
          <w:tab w:val="left" w:pos="1095"/>
        </w:tabs>
        <w:jc w:val="both"/>
        <w:rPr>
          <w:rFonts w:ascii="Book Antiqua" w:hAnsi="Book Antiqua"/>
          <w:sz w:val="23"/>
          <w:szCs w:val="23"/>
        </w:rPr>
      </w:pPr>
      <w:r w:rsidRPr="002C1C29">
        <w:rPr>
          <w:rFonts w:ascii="Book Antiqua" w:hAnsi="Book Antiqua"/>
          <w:sz w:val="23"/>
          <w:szCs w:val="23"/>
        </w:rPr>
        <w:t>Règlement (UE) n ° 978/2012 du Parlement européen et du Conseil du 25 octobre 2012 appliquant un schéma de préférences tarifaires généralisées et abrogeant le règlement (CE) n ° 732/2008 du Conseil</w:t>
      </w:r>
      <w:r>
        <w:rPr>
          <w:rFonts w:ascii="Book Antiqua" w:hAnsi="Book Antiqua"/>
          <w:sz w:val="23"/>
          <w:szCs w:val="23"/>
        </w:rPr>
        <w:t xml:space="preserve">, </w:t>
      </w:r>
      <w:r w:rsidRPr="002C1C29">
        <w:rPr>
          <w:rFonts w:ascii="Book Antiqua" w:hAnsi="Book Antiqua"/>
          <w:sz w:val="23"/>
          <w:szCs w:val="23"/>
        </w:rPr>
        <w:t>JO L 303 du 31.10.2012, p. 1–82</w:t>
      </w:r>
    </w:p>
    <w:p w:rsidR="00CA6CAC" w:rsidRDefault="00CA6CAC" w:rsidP="002C1C29">
      <w:pPr>
        <w:pStyle w:val="Paragraphedeliste"/>
        <w:numPr>
          <w:ilvl w:val="0"/>
          <w:numId w:val="1"/>
        </w:numPr>
        <w:tabs>
          <w:tab w:val="left" w:pos="1095"/>
        </w:tabs>
        <w:jc w:val="both"/>
        <w:rPr>
          <w:rFonts w:ascii="Book Antiqua" w:hAnsi="Book Antiqua"/>
          <w:sz w:val="23"/>
          <w:szCs w:val="23"/>
        </w:rPr>
      </w:pPr>
      <w:r w:rsidRPr="00CA6CAC">
        <w:rPr>
          <w:rFonts w:ascii="Book Antiqua" w:hAnsi="Book Antiqua"/>
          <w:sz w:val="23"/>
          <w:szCs w:val="23"/>
        </w:rPr>
        <w:t>Règlement (UE) 2015/1843 du Parlement européen et du Conseil du 6 octobre 2015 arrêtant des procédures de l’Union en matière de politique commerciale commune en vue d’assurer l’exercice par l’Union des droits qui lui sont conférés par les règles du commerce international, en particulier celles instituées sous l’égide de l’Organisation mondiale du commerce (OMC) (texte codifié)</w:t>
      </w:r>
      <w:r>
        <w:rPr>
          <w:rFonts w:ascii="Book Antiqua" w:hAnsi="Book Antiqua"/>
          <w:sz w:val="23"/>
          <w:szCs w:val="23"/>
        </w:rPr>
        <w:t xml:space="preserve"> JO</w:t>
      </w:r>
      <w:r w:rsidRPr="00CA6CAC">
        <w:rPr>
          <w:rFonts w:ascii="Book Antiqua" w:hAnsi="Book Antiqua"/>
          <w:sz w:val="23"/>
          <w:szCs w:val="23"/>
        </w:rPr>
        <w:t xml:space="preserve"> L 272, 16.10.2015, p. 1–13</w:t>
      </w:r>
    </w:p>
    <w:p w:rsidR="00CA6CAC" w:rsidRDefault="00CA6CAC" w:rsidP="002C1C29">
      <w:pPr>
        <w:pStyle w:val="Paragraphedeliste"/>
        <w:numPr>
          <w:ilvl w:val="0"/>
          <w:numId w:val="1"/>
        </w:numPr>
        <w:tabs>
          <w:tab w:val="left" w:pos="1095"/>
        </w:tabs>
        <w:jc w:val="both"/>
        <w:rPr>
          <w:rFonts w:ascii="Book Antiqua" w:hAnsi="Book Antiqua"/>
          <w:sz w:val="23"/>
          <w:szCs w:val="23"/>
        </w:rPr>
      </w:pPr>
      <w:r w:rsidRPr="00CA6CAC">
        <w:rPr>
          <w:rFonts w:ascii="Book Antiqua" w:hAnsi="Book Antiqua"/>
          <w:sz w:val="23"/>
          <w:szCs w:val="23"/>
        </w:rPr>
        <w:t>Règlement (UE) 2019/452 du Parlement européen et du Conseil du 19 mars 2019 établissant un cadre pour le filtrage des investissements directs étrangers dans l'Union</w:t>
      </w:r>
      <w:r>
        <w:rPr>
          <w:rFonts w:ascii="Book Antiqua" w:hAnsi="Book Antiqua"/>
          <w:sz w:val="23"/>
          <w:szCs w:val="23"/>
        </w:rPr>
        <w:t>, JO</w:t>
      </w:r>
      <w:r w:rsidR="002C1C29">
        <w:rPr>
          <w:rFonts w:ascii="Book Antiqua" w:hAnsi="Book Antiqua"/>
          <w:sz w:val="23"/>
          <w:szCs w:val="23"/>
        </w:rPr>
        <w:t xml:space="preserve"> L 79I</w:t>
      </w:r>
      <w:r w:rsidRPr="00CA6CAC">
        <w:rPr>
          <w:rFonts w:ascii="Book Antiqua" w:hAnsi="Book Antiqua"/>
          <w:sz w:val="23"/>
          <w:szCs w:val="23"/>
        </w:rPr>
        <w:t>, 21.3.2019, p. 1–14</w:t>
      </w:r>
    </w:p>
    <w:p w:rsidR="002C1C29" w:rsidRPr="002C1C29" w:rsidRDefault="002C1C29" w:rsidP="002C1C29">
      <w:pPr>
        <w:pStyle w:val="Paragraphedeliste"/>
        <w:numPr>
          <w:ilvl w:val="0"/>
          <w:numId w:val="1"/>
        </w:numPr>
        <w:tabs>
          <w:tab w:val="left" w:pos="1095"/>
        </w:tabs>
        <w:jc w:val="both"/>
        <w:rPr>
          <w:rFonts w:ascii="Book Antiqua" w:hAnsi="Book Antiqua"/>
          <w:sz w:val="23"/>
          <w:szCs w:val="23"/>
        </w:rPr>
      </w:pPr>
      <w:r w:rsidRPr="002C1C29">
        <w:rPr>
          <w:rFonts w:ascii="Book Antiqua" w:hAnsi="Book Antiqua"/>
          <w:sz w:val="23"/>
          <w:szCs w:val="23"/>
        </w:rPr>
        <w:t>Règlement (UE) 2022/1031 du Parlement européen et du Conseil du 23 juin 2022 concernant l’accès des opérateurs économiques, des biens et des services des pays tiers aux marchés publics et aux concessions de l’Union et établissant des procédures visant à faciliter les négociations relatives à l’accès des opérateurs économiques, des biens et des services originaires de l’Union aux marchés publics et aux concessions des pays tiers (Instrument relatif aux marchés</w:t>
      </w:r>
      <w:r>
        <w:rPr>
          <w:rFonts w:ascii="Book Antiqua" w:hAnsi="Book Antiqua"/>
          <w:sz w:val="23"/>
          <w:szCs w:val="23"/>
        </w:rPr>
        <w:t xml:space="preserve"> publics internationaux — IMPI), </w:t>
      </w:r>
      <w:r w:rsidRPr="002C1C29">
        <w:rPr>
          <w:rFonts w:ascii="Book Antiqua" w:hAnsi="Book Antiqua"/>
          <w:sz w:val="23"/>
          <w:szCs w:val="23"/>
        </w:rPr>
        <w:t>JO L 173 du 30.6.2022, p. 1–16</w:t>
      </w:r>
    </w:p>
    <w:p w:rsidR="0077474B" w:rsidRPr="0077474B" w:rsidRDefault="0077474B" w:rsidP="002C1C29">
      <w:pPr>
        <w:tabs>
          <w:tab w:val="left" w:pos="1095"/>
        </w:tabs>
        <w:jc w:val="both"/>
        <w:rPr>
          <w:rFonts w:ascii="Book Antiqua" w:hAnsi="Book Antiqua"/>
          <w:sz w:val="23"/>
          <w:szCs w:val="23"/>
        </w:rPr>
      </w:pPr>
    </w:p>
    <w:p w:rsidR="0077474B" w:rsidRDefault="0077474B" w:rsidP="002C1C29">
      <w:pPr>
        <w:pStyle w:val="Paragraphedeliste"/>
        <w:numPr>
          <w:ilvl w:val="0"/>
          <w:numId w:val="22"/>
        </w:numPr>
        <w:tabs>
          <w:tab w:val="left" w:pos="1095"/>
        </w:tabs>
        <w:jc w:val="both"/>
        <w:rPr>
          <w:rFonts w:ascii="Book Antiqua" w:hAnsi="Book Antiqua"/>
          <w:sz w:val="23"/>
          <w:szCs w:val="23"/>
        </w:rPr>
      </w:pPr>
      <w:r>
        <w:rPr>
          <w:rFonts w:ascii="Book Antiqua" w:hAnsi="Book Antiqua"/>
          <w:sz w:val="23"/>
          <w:szCs w:val="23"/>
        </w:rPr>
        <w:t>Propositions législatives</w:t>
      </w:r>
      <w:r w:rsidR="00CA6CAC">
        <w:rPr>
          <w:rFonts w:ascii="Book Antiqua" w:hAnsi="Book Antiqua"/>
          <w:sz w:val="23"/>
          <w:szCs w:val="23"/>
        </w:rPr>
        <w:t xml:space="preserve"> de l’UE</w:t>
      </w:r>
    </w:p>
    <w:p w:rsidR="00E14969" w:rsidRPr="00E14969" w:rsidRDefault="00E14969" w:rsidP="00E14969">
      <w:pPr>
        <w:pStyle w:val="Paragraphedeliste"/>
        <w:numPr>
          <w:ilvl w:val="0"/>
          <w:numId w:val="1"/>
        </w:numPr>
        <w:jc w:val="both"/>
        <w:rPr>
          <w:rFonts w:ascii="Book Antiqua" w:hAnsi="Book Antiqua"/>
          <w:sz w:val="23"/>
          <w:szCs w:val="23"/>
        </w:rPr>
      </w:pPr>
      <w:r w:rsidRPr="00E14969">
        <w:rPr>
          <w:rFonts w:ascii="Book Antiqua" w:hAnsi="Book Antiqua"/>
          <w:sz w:val="23"/>
          <w:szCs w:val="23"/>
        </w:rPr>
        <w:t xml:space="preserve">Proposition de </w:t>
      </w:r>
      <w:r>
        <w:rPr>
          <w:rFonts w:ascii="Book Antiqua" w:hAnsi="Book Antiqua"/>
          <w:sz w:val="23"/>
          <w:szCs w:val="23"/>
        </w:rPr>
        <w:t xml:space="preserve">règlement du Parlement européen et du Conseil </w:t>
      </w:r>
      <w:r w:rsidRPr="00E14969">
        <w:rPr>
          <w:rFonts w:ascii="Book Antiqua" w:hAnsi="Book Antiqua"/>
          <w:sz w:val="23"/>
          <w:szCs w:val="23"/>
        </w:rPr>
        <w:t>établissant un mécanisme d’ajustement carbone aux frontières</w:t>
      </w:r>
      <w:r>
        <w:rPr>
          <w:rFonts w:ascii="Book Antiqua" w:hAnsi="Book Antiqua"/>
          <w:sz w:val="23"/>
          <w:szCs w:val="23"/>
        </w:rPr>
        <w:t xml:space="preserve">, </w:t>
      </w:r>
      <w:r w:rsidRPr="00E14969">
        <w:rPr>
          <w:rFonts w:ascii="Book Antiqua" w:hAnsi="Book Antiqua"/>
          <w:sz w:val="23"/>
          <w:szCs w:val="23"/>
        </w:rPr>
        <w:t>COM/2021/564 final</w:t>
      </w:r>
      <w:r>
        <w:rPr>
          <w:rFonts w:ascii="Book Antiqua" w:hAnsi="Book Antiqua"/>
          <w:sz w:val="23"/>
          <w:szCs w:val="23"/>
        </w:rPr>
        <w:t>, 14 juill. 2021</w:t>
      </w:r>
    </w:p>
    <w:p w:rsidR="00CA6CAC" w:rsidRDefault="00E14969" w:rsidP="00E14969">
      <w:pPr>
        <w:pStyle w:val="Paragraphedeliste"/>
        <w:numPr>
          <w:ilvl w:val="0"/>
          <w:numId w:val="1"/>
        </w:numPr>
        <w:jc w:val="both"/>
        <w:rPr>
          <w:rFonts w:ascii="Book Antiqua" w:hAnsi="Book Antiqua"/>
          <w:sz w:val="23"/>
          <w:szCs w:val="23"/>
        </w:rPr>
      </w:pPr>
      <w:r w:rsidRPr="00E14969">
        <w:rPr>
          <w:rFonts w:ascii="Book Antiqua" w:hAnsi="Book Antiqua"/>
          <w:sz w:val="23"/>
          <w:szCs w:val="23"/>
        </w:rPr>
        <w:t xml:space="preserve">Proposition de </w:t>
      </w:r>
      <w:r>
        <w:rPr>
          <w:rFonts w:ascii="Book Antiqua" w:hAnsi="Book Antiqua"/>
          <w:sz w:val="23"/>
          <w:szCs w:val="23"/>
        </w:rPr>
        <w:t xml:space="preserve">règlement du Parlement européen et du Conseil </w:t>
      </w:r>
      <w:r w:rsidRPr="00E14969">
        <w:rPr>
          <w:rFonts w:ascii="Book Antiqua" w:hAnsi="Book Antiqua"/>
          <w:sz w:val="23"/>
          <w:szCs w:val="23"/>
        </w:rPr>
        <w:t>relatif à la mise à disposition sur le marché de l’Union ainsi qu’à l’exportation à partir de l’Union de certains produits de base et produits associés à la déforestation et à la dégradation des forêts, et abrogeant le règlement (UE) nº 995/2010</w:t>
      </w:r>
      <w:r>
        <w:rPr>
          <w:rFonts w:ascii="Book Antiqua" w:hAnsi="Book Antiqua"/>
          <w:sz w:val="23"/>
          <w:szCs w:val="23"/>
        </w:rPr>
        <w:t xml:space="preserve">, </w:t>
      </w:r>
      <w:r w:rsidRPr="00E14969">
        <w:rPr>
          <w:rFonts w:ascii="Book Antiqua" w:hAnsi="Book Antiqua"/>
          <w:sz w:val="23"/>
          <w:szCs w:val="23"/>
        </w:rPr>
        <w:t>COM/2021/706 final</w:t>
      </w:r>
      <w:r>
        <w:rPr>
          <w:rFonts w:ascii="Book Antiqua" w:hAnsi="Book Antiqua"/>
          <w:sz w:val="23"/>
          <w:szCs w:val="23"/>
        </w:rPr>
        <w:t>, 17 nov. 2021</w:t>
      </w:r>
    </w:p>
    <w:p w:rsidR="00E14969" w:rsidRPr="00E14969" w:rsidRDefault="00E14969" w:rsidP="00E14969">
      <w:pPr>
        <w:pStyle w:val="Paragraphedeliste"/>
        <w:numPr>
          <w:ilvl w:val="0"/>
          <w:numId w:val="1"/>
        </w:numPr>
        <w:jc w:val="both"/>
        <w:rPr>
          <w:rFonts w:ascii="Book Antiqua" w:hAnsi="Book Antiqua"/>
          <w:sz w:val="23"/>
          <w:szCs w:val="23"/>
        </w:rPr>
      </w:pPr>
      <w:r w:rsidRPr="00E14969">
        <w:rPr>
          <w:rFonts w:ascii="Book Antiqua" w:hAnsi="Book Antiqua"/>
          <w:sz w:val="23"/>
          <w:szCs w:val="23"/>
        </w:rPr>
        <w:t xml:space="preserve">Proposition de </w:t>
      </w:r>
      <w:r>
        <w:rPr>
          <w:rFonts w:ascii="Book Antiqua" w:hAnsi="Book Antiqua"/>
          <w:sz w:val="23"/>
          <w:szCs w:val="23"/>
        </w:rPr>
        <w:t xml:space="preserve">règlement du Parlement européen et du Conseil </w:t>
      </w:r>
      <w:r w:rsidRPr="00E14969">
        <w:rPr>
          <w:rFonts w:ascii="Book Antiqua" w:hAnsi="Book Antiqua"/>
          <w:sz w:val="23"/>
          <w:szCs w:val="23"/>
        </w:rPr>
        <w:t>relatif à la protection de l’Union et de ses États membres contre la coercition économique exercée par des pays tiers</w:t>
      </w:r>
      <w:r>
        <w:rPr>
          <w:rFonts w:ascii="Book Antiqua" w:hAnsi="Book Antiqua"/>
          <w:sz w:val="23"/>
          <w:szCs w:val="23"/>
        </w:rPr>
        <w:t xml:space="preserve">, </w:t>
      </w:r>
      <w:r w:rsidRPr="00E14969">
        <w:rPr>
          <w:rFonts w:ascii="Book Antiqua" w:hAnsi="Book Antiqua"/>
          <w:sz w:val="23"/>
          <w:szCs w:val="23"/>
        </w:rPr>
        <w:t>COM/2021/775 final</w:t>
      </w:r>
      <w:r>
        <w:rPr>
          <w:rFonts w:ascii="Book Antiqua" w:hAnsi="Book Antiqua"/>
          <w:sz w:val="23"/>
          <w:szCs w:val="23"/>
        </w:rPr>
        <w:t>, 8 déc. 2021</w:t>
      </w:r>
    </w:p>
    <w:p w:rsidR="00E14969" w:rsidRPr="00736FE9" w:rsidRDefault="00E14969" w:rsidP="00E14969">
      <w:pPr>
        <w:pStyle w:val="Paragraphedeliste"/>
        <w:numPr>
          <w:ilvl w:val="0"/>
          <w:numId w:val="1"/>
        </w:numPr>
        <w:jc w:val="both"/>
        <w:rPr>
          <w:rFonts w:ascii="Book Antiqua" w:hAnsi="Book Antiqua"/>
          <w:sz w:val="23"/>
          <w:szCs w:val="23"/>
        </w:rPr>
      </w:pPr>
      <w:r w:rsidRPr="00736FE9">
        <w:rPr>
          <w:rFonts w:ascii="Book Antiqua" w:hAnsi="Book Antiqua"/>
          <w:sz w:val="23"/>
          <w:szCs w:val="23"/>
        </w:rPr>
        <w:t>Proposition de règlement du Parlement européen et du Conseil relatif à l’interdiction des produits issus du travail forcé sur le marché de l’Union, COM/2022/453 final, 14 sept. 2022</w:t>
      </w:r>
    </w:p>
    <w:p w:rsidR="00CA6CAC" w:rsidRPr="00E14969" w:rsidRDefault="00CA6CAC" w:rsidP="00E14969">
      <w:pPr>
        <w:tabs>
          <w:tab w:val="left" w:pos="1095"/>
        </w:tabs>
        <w:rPr>
          <w:rFonts w:ascii="Book Antiqua" w:hAnsi="Book Antiqua"/>
          <w:sz w:val="23"/>
          <w:szCs w:val="23"/>
        </w:rPr>
      </w:pPr>
    </w:p>
    <w:p w:rsidR="0077474B" w:rsidRDefault="0077474B" w:rsidP="0077474B">
      <w:pPr>
        <w:pStyle w:val="Paragraphedeliste"/>
        <w:numPr>
          <w:ilvl w:val="0"/>
          <w:numId w:val="22"/>
        </w:numPr>
        <w:tabs>
          <w:tab w:val="left" w:pos="1095"/>
        </w:tabs>
        <w:rPr>
          <w:rFonts w:ascii="Book Antiqua" w:hAnsi="Book Antiqua"/>
          <w:sz w:val="23"/>
          <w:szCs w:val="23"/>
        </w:rPr>
      </w:pPr>
      <w:r>
        <w:rPr>
          <w:rFonts w:ascii="Book Antiqua" w:hAnsi="Book Antiqua"/>
          <w:sz w:val="23"/>
          <w:szCs w:val="23"/>
        </w:rPr>
        <w:lastRenderedPageBreak/>
        <w:t>Textes non contraignants (rapport, communications…)</w:t>
      </w:r>
    </w:p>
    <w:p w:rsidR="0077474B" w:rsidRDefault="00CA6CAC" w:rsidP="0077474B">
      <w:pPr>
        <w:tabs>
          <w:tab w:val="left" w:pos="1095"/>
        </w:tabs>
        <w:rPr>
          <w:rFonts w:ascii="Book Antiqua" w:hAnsi="Book Antiqua"/>
          <w:sz w:val="23"/>
          <w:szCs w:val="23"/>
        </w:rPr>
      </w:pPr>
      <w:r>
        <w:rPr>
          <w:rFonts w:ascii="Book Antiqua" w:hAnsi="Book Antiqua"/>
          <w:sz w:val="23"/>
          <w:szCs w:val="23"/>
        </w:rPr>
        <w:t>1° OMC</w:t>
      </w:r>
    </w:p>
    <w:p w:rsidR="00CA6CAC" w:rsidRPr="00CA6CAC" w:rsidRDefault="00CA6CAC" w:rsidP="00CA6CAC">
      <w:pPr>
        <w:pStyle w:val="Paragraphedeliste"/>
        <w:numPr>
          <w:ilvl w:val="0"/>
          <w:numId w:val="1"/>
        </w:numPr>
        <w:spacing w:after="240" w:line="240" w:lineRule="auto"/>
        <w:jc w:val="both"/>
        <w:rPr>
          <w:rFonts w:ascii="Times New Roman" w:eastAsia="Times New Roman" w:hAnsi="Times New Roman" w:cs="Times New Roman"/>
          <w:sz w:val="24"/>
          <w:szCs w:val="24"/>
          <w:lang w:eastAsia="fr-FR"/>
        </w:rPr>
      </w:pPr>
      <w:r w:rsidRPr="00CA6CAC">
        <w:rPr>
          <w:rFonts w:ascii="Times New Roman" w:eastAsia="Times New Roman" w:hAnsi="Times New Roman" w:cs="Times New Roman"/>
          <w:sz w:val="24"/>
          <w:szCs w:val="24"/>
          <w:lang w:eastAsia="fr-FR"/>
        </w:rPr>
        <w:t xml:space="preserve">Rapports annuels de l’OMC sur le commerce mondial, rapport annuel disponible sur le site de l’OMC à l’adresse : </w:t>
      </w:r>
      <w:hyperlink r:id="rId11" w:history="1">
        <w:r w:rsidRPr="00CA6CAC">
          <w:rPr>
            <w:rFonts w:ascii="Times New Roman" w:eastAsia="Times New Roman" w:hAnsi="Times New Roman" w:cs="Times New Roman"/>
            <w:color w:val="0000FF"/>
            <w:sz w:val="24"/>
            <w:szCs w:val="24"/>
            <w:u w:val="single"/>
            <w:lang w:eastAsia="fr-FR"/>
          </w:rPr>
          <w:t>https://www.wto.org/french/res_f/reser_f/wtr_f.htm</w:t>
        </w:r>
      </w:hyperlink>
    </w:p>
    <w:p w:rsidR="00CA6CAC" w:rsidRPr="00CA6CAC" w:rsidRDefault="00CA6CAC" w:rsidP="00CA6CAC">
      <w:pPr>
        <w:pStyle w:val="Paragraphedeliste"/>
        <w:numPr>
          <w:ilvl w:val="0"/>
          <w:numId w:val="1"/>
        </w:numPr>
        <w:spacing w:after="240" w:line="240" w:lineRule="auto"/>
        <w:jc w:val="both"/>
        <w:rPr>
          <w:rFonts w:ascii="Times New Roman" w:eastAsia="Times New Roman" w:hAnsi="Times New Roman" w:cs="Times New Roman"/>
          <w:sz w:val="24"/>
          <w:szCs w:val="24"/>
          <w:lang w:eastAsia="fr-FR"/>
        </w:rPr>
      </w:pPr>
      <w:r w:rsidRPr="00CA6CAC">
        <w:rPr>
          <w:rFonts w:ascii="Times New Roman" w:eastAsia="Times New Roman" w:hAnsi="Times New Roman" w:cs="Times New Roman"/>
          <w:sz w:val="24"/>
          <w:szCs w:val="24"/>
          <w:lang w:eastAsia="fr-FR"/>
        </w:rPr>
        <w:t xml:space="preserve">Profils tarifaires dans le monde, 6 juill. 2020, disponible à l’adresse : </w:t>
      </w:r>
      <w:hyperlink r:id="rId12" w:history="1">
        <w:r w:rsidRPr="00CA6CAC">
          <w:rPr>
            <w:rStyle w:val="Lienhypertexte"/>
            <w:rFonts w:ascii="Times New Roman" w:eastAsia="Times New Roman" w:hAnsi="Times New Roman" w:cs="Times New Roman"/>
            <w:sz w:val="24"/>
            <w:szCs w:val="24"/>
            <w:lang w:eastAsia="fr-FR"/>
          </w:rPr>
          <w:t>https://www.wto.org/french/res_f/booksp_f/tariff_profiles20_f.pdf</w:t>
        </w:r>
      </w:hyperlink>
    </w:p>
    <w:p w:rsidR="00CA6CAC" w:rsidRPr="0077474B" w:rsidRDefault="00CA6CAC" w:rsidP="0077474B">
      <w:pPr>
        <w:tabs>
          <w:tab w:val="left" w:pos="1095"/>
        </w:tabs>
        <w:rPr>
          <w:rFonts w:ascii="Book Antiqua" w:hAnsi="Book Antiqua"/>
          <w:sz w:val="23"/>
          <w:szCs w:val="23"/>
        </w:rPr>
      </w:pPr>
      <w:r>
        <w:rPr>
          <w:rFonts w:ascii="Book Antiqua" w:hAnsi="Book Antiqua"/>
          <w:sz w:val="23"/>
          <w:szCs w:val="23"/>
        </w:rPr>
        <w:t>2° Union européenne</w:t>
      </w:r>
    </w:p>
    <w:p w:rsidR="00CA6CAC" w:rsidRDefault="003951C0" w:rsidP="003951C0">
      <w:pPr>
        <w:pStyle w:val="Paragraphedeliste"/>
        <w:numPr>
          <w:ilvl w:val="0"/>
          <w:numId w:val="1"/>
        </w:numPr>
        <w:tabs>
          <w:tab w:val="left" w:pos="1095"/>
        </w:tabs>
        <w:rPr>
          <w:rFonts w:ascii="Book Antiqua" w:hAnsi="Book Antiqua"/>
          <w:sz w:val="23"/>
          <w:szCs w:val="23"/>
        </w:rPr>
      </w:pPr>
      <w:r w:rsidRPr="00CA6CAC">
        <w:rPr>
          <w:rFonts w:ascii="Book Antiqua" w:hAnsi="Book Antiqua"/>
          <w:sz w:val="23"/>
          <w:szCs w:val="23"/>
        </w:rPr>
        <w:t>Communication de la Commission, Une Europe compétitive dans une économie mondialisée, COM(2006) 567, 4 oct. 2006</w:t>
      </w:r>
    </w:p>
    <w:p w:rsidR="00CA6CAC" w:rsidRDefault="003951C0" w:rsidP="003951C0">
      <w:pPr>
        <w:pStyle w:val="Paragraphedeliste"/>
        <w:numPr>
          <w:ilvl w:val="0"/>
          <w:numId w:val="1"/>
        </w:numPr>
        <w:tabs>
          <w:tab w:val="left" w:pos="1095"/>
        </w:tabs>
        <w:rPr>
          <w:rFonts w:ascii="Book Antiqua" w:hAnsi="Book Antiqua"/>
          <w:sz w:val="23"/>
          <w:szCs w:val="23"/>
        </w:rPr>
      </w:pPr>
      <w:r w:rsidRPr="00CA6CAC">
        <w:rPr>
          <w:rFonts w:ascii="Book Antiqua" w:hAnsi="Book Antiqua"/>
          <w:sz w:val="23"/>
          <w:szCs w:val="23"/>
        </w:rPr>
        <w:t>Communication de la Commission, Commerce, croissance et affaires mondiales – La politique commerciale au cœur de la stratégie Europe 2020, COM(2010)612 final, 9 nov. 2010</w:t>
      </w:r>
    </w:p>
    <w:p w:rsidR="00CA6CAC" w:rsidRDefault="003951C0" w:rsidP="003951C0">
      <w:pPr>
        <w:pStyle w:val="Paragraphedeliste"/>
        <w:numPr>
          <w:ilvl w:val="0"/>
          <w:numId w:val="1"/>
        </w:numPr>
        <w:tabs>
          <w:tab w:val="left" w:pos="1095"/>
        </w:tabs>
        <w:rPr>
          <w:rFonts w:ascii="Book Antiqua" w:hAnsi="Book Antiqua"/>
          <w:sz w:val="23"/>
          <w:szCs w:val="23"/>
        </w:rPr>
      </w:pPr>
      <w:r w:rsidRPr="00CA6CAC">
        <w:rPr>
          <w:rFonts w:ascii="Book Antiqua" w:hAnsi="Book Antiqua"/>
          <w:sz w:val="23"/>
          <w:szCs w:val="23"/>
        </w:rPr>
        <w:t>Communication de la Commission, Le Commerce pour tous – Vers une politique du commerce et de l’investissement plus responsable, COM(2015)597 final, 14 oct. 2015</w:t>
      </w:r>
    </w:p>
    <w:p w:rsidR="00CA6CAC" w:rsidRDefault="003951C0" w:rsidP="003951C0">
      <w:pPr>
        <w:pStyle w:val="Paragraphedeliste"/>
        <w:numPr>
          <w:ilvl w:val="0"/>
          <w:numId w:val="1"/>
        </w:numPr>
        <w:tabs>
          <w:tab w:val="left" w:pos="1095"/>
        </w:tabs>
        <w:rPr>
          <w:rFonts w:ascii="Book Antiqua" w:hAnsi="Book Antiqua"/>
          <w:sz w:val="23"/>
          <w:szCs w:val="23"/>
        </w:rPr>
      </w:pPr>
      <w:r w:rsidRPr="00CA6CAC">
        <w:rPr>
          <w:rFonts w:ascii="Book Antiqua" w:hAnsi="Book Antiqua"/>
          <w:sz w:val="23"/>
          <w:szCs w:val="23"/>
        </w:rPr>
        <w:t>Communication de la Commission, Une Politique commerciale équilibrée et novatrice pour maîtriser la mondialisation, COM(2017)492 final, 13 sept. 2017</w:t>
      </w:r>
    </w:p>
    <w:p w:rsidR="00CA6CAC" w:rsidRDefault="003951C0" w:rsidP="003951C0">
      <w:pPr>
        <w:pStyle w:val="Paragraphedeliste"/>
        <w:numPr>
          <w:ilvl w:val="0"/>
          <w:numId w:val="1"/>
        </w:numPr>
        <w:tabs>
          <w:tab w:val="left" w:pos="1095"/>
        </w:tabs>
        <w:rPr>
          <w:rFonts w:ascii="Book Antiqua" w:hAnsi="Book Antiqua"/>
          <w:sz w:val="23"/>
          <w:szCs w:val="23"/>
        </w:rPr>
      </w:pPr>
      <w:r w:rsidRPr="00CA6CAC">
        <w:rPr>
          <w:rFonts w:ascii="Book Antiqua" w:hAnsi="Book Antiqua"/>
          <w:sz w:val="23"/>
          <w:szCs w:val="23"/>
        </w:rPr>
        <w:t>Communication conjointe de la Commission et de la haute représentante, Relations UE/Chine – Une Vision stratégique, JOIN(2019) 5 final, 12 mars 2019</w:t>
      </w:r>
    </w:p>
    <w:p w:rsidR="00CA6CAC" w:rsidRDefault="003951C0" w:rsidP="003951C0">
      <w:pPr>
        <w:pStyle w:val="Paragraphedeliste"/>
        <w:numPr>
          <w:ilvl w:val="0"/>
          <w:numId w:val="1"/>
        </w:numPr>
        <w:tabs>
          <w:tab w:val="left" w:pos="1095"/>
        </w:tabs>
        <w:rPr>
          <w:rFonts w:ascii="Book Antiqua" w:hAnsi="Book Antiqua"/>
          <w:sz w:val="23"/>
          <w:szCs w:val="23"/>
        </w:rPr>
      </w:pPr>
      <w:r w:rsidRPr="00CA6CAC">
        <w:rPr>
          <w:rFonts w:ascii="Book Antiqua" w:hAnsi="Book Antiqua"/>
          <w:sz w:val="23"/>
          <w:szCs w:val="23"/>
        </w:rPr>
        <w:t xml:space="preserve">Communication de la Commission, Le Pacte vert pour l’Europe, COM/2019/640 final, 11 déc. 2019 </w:t>
      </w:r>
    </w:p>
    <w:p w:rsidR="00CA6CAC" w:rsidRDefault="00CA6CAC" w:rsidP="003951C0">
      <w:pPr>
        <w:pStyle w:val="Paragraphedeliste"/>
        <w:numPr>
          <w:ilvl w:val="0"/>
          <w:numId w:val="1"/>
        </w:numPr>
        <w:tabs>
          <w:tab w:val="left" w:pos="1095"/>
        </w:tabs>
        <w:rPr>
          <w:rFonts w:ascii="Book Antiqua" w:hAnsi="Book Antiqua"/>
          <w:sz w:val="23"/>
          <w:szCs w:val="23"/>
        </w:rPr>
      </w:pPr>
      <w:r w:rsidRPr="00CA6CAC">
        <w:rPr>
          <w:rFonts w:ascii="Book Antiqua" w:hAnsi="Book Antiqua"/>
          <w:sz w:val="23"/>
          <w:szCs w:val="23"/>
        </w:rPr>
        <w:t>Comm</w:t>
      </w:r>
      <w:r w:rsidR="003951C0" w:rsidRPr="00CA6CAC">
        <w:rPr>
          <w:rFonts w:ascii="Book Antiqua" w:hAnsi="Book Antiqua"/>
          <w:sz w:val="23"/>
          <w:szCs w:val="23"/>
        </w:rPr>
        <w:t>unication de la Commission, Une Politique commerciale ouverte, durable et ferme, COM(2021)66, 18 fév. 2021</w:t>
      </w:r>
    </w:p>
    <w:p w:rsidR="000A2504" w:rsidRPr="00CA6CAC" w:rsidRDefault="003951C0" w:rsidP="003951C0">
      <w:pPr>
        <w:pStyle w:val="Paragraphedeliste"/>
        <w:numPr>
          <w:ilvl w:val="0"/>
          <w:numId w:val="1"/>
        </w:numPr>
        <w:tabs>
          <w:tab w:val="left" w:pos="1095"/>
        </w:tabs>
        <w:rPr>
          <w:rFonts w:ascii="Book Antiqua" w:hAnsi="Book Antiqua"/>
          <w:sz w:val="23"/>
          <w:szCs w:val="23"/>
        </w:rPr>
      </w:pPr>
      <w:r w:rsidRPr="00CA6CAC">
        <w:rPr>
          <w:rFonts w:ascii="Book Antiqua" w:hAnsi="Book Antiqua"/>
          <w:sz w:val="23"/>
          <w:szCs w:val="23"/>
        </w:rPr>
        <w:t xml:space="preserve">Rapport sur la mise en œuvre des accords commerciaux de l’UE (2020), COM(2021) 654 final, </w:t>
      </w:r>
      <w:r w:rsidR="00CA6CAC" w:rsidRPr="00CA6CAC">
        <w:rPr>
          <w:rFonts w:ascii="Book Antiqua" w:hAnsi="Book Antiqua"/>
          <w:sz w:val="23"/>
          <w:szCs w:val="23"/>
        </w:rPr>
        <w:t>COM/2022/730 final, 11 oct. 2022</w:t>
      </w:r>
    </w:p>
    <w:p w:rsidR="003951C0" w:rsidRDefault="003951C0" w:rsidP="00031858">
      <w:pPr>
        <w:tabs>
          <w:tab w:val="left" w:pos="1095"/>
        </w:tabs>
        <w:rPr>
          <w:rFonts w:ascii="Book Antiqua" w:hAnsi="Book Antiqua"/>
          <w:smallCaps/>
          <w:sz w:val="23"/>
          <w:szCs w:val="23"/>
        </w:rPr>
      </w:pPr>
      <w:r>
        <w:rPr>
          <w:rFonts w:ascii="Book Antiqua" w:hAnsi="Book Antiqua"/>
          <w:smallCaps/>
          <w:sz w:val="23"/>
          <w:szCs w:val="23"/>
        </w:rPr>
        <w:br w:type="page"/>
      </w:r>
    </w:p>
    <w:p w:rsidR="00031858" w:rsidRDefault="003951C0" w:rsidP="00031858">
      <w:pPr>
        <w:tabs>
          <w:tab w:val="left" w:pos="1095"/>
        </w:tabs>
        <w:rPr>
          <w:rFonts w:ascii="Book Antiqua" w:hAnsi="Book Antiqua"/>
          <w:smallCaps/>
          <w:sz w:val="23"/>
          <w:szCs w:val="23"/>
        </w:rPr>
      </w:pPr>
      <w:r>
        <w:rPr>
          <w:rFonts w:ascii="Book Antiqua" w:hAnsi="Book Antiqua"/>
          <w:smallCaps/>
          <w:sz w:val="23"/>
          <w:szCs w:val="23"/>
        </w:rPr>
        <w:t xml:space="preserve">2° </w:t>
      </w:r>
      <w:r w:rsidR="00B010F5" w:rsidRPr="00B010F5">
        <w:rPr>
          <w:rFonts w:ascii="Book Antiqua" w:hAnsi="Book Antiqua"/>
          <w:smallCaps/>
          <w:sz w:val="23"/>
          <w:szCs w:val="23"/>
        </w:rPr>
        <w:t>Doctrine</w:t>
      </w:r>
    </w:p>
    <w:p w:rsidR="00916094" w:rsidRPr="00916094" w:rsidRDefault="00916094" w:rsidP="00916094">
      <w:pPr>
        <w:numPr>
          <w:ilvl w:val="0"/>
          <w:numId w:val="3"/>
        </w:numPr>
        <w:spacing w:after="240" w:line="240" w:lineRule="auto"/>
        <w:jc w:val="both"/>
        <w:rPr>
          <w:rFonts w:ascii="Times New Roman" w:eastAsia="Times New Roman" w:hAnsi="Times New Roman" w:cs="Times New Roman"/>
          <w:sz w:val="24"/>
          <w:szCs w:val="24"/>
          <w:lang w:val="en-GB" w:eastAsia="fr-FR"/>
        </w:rPr>
      </w:pPr>
      <w:r>
        <w:rPr>
          <w:rFonts w:ascii="Times New Roman" w:eastAsia="Times New Roman" w:hAnsi="Times New Roman" w:cs="Times New Roman"/>
          <w:caps/>
          <w:sz w:val="24"/>
          <w:szCs w:val="24"/>
          <w:lang w:val="en-GB" w:eastAsia="fr-FR"/>
        </w:rPr>
        <w:t>L. Abdelmalki, R.</w:t>
      </w:r>
      <w:r w:rsidRPr="00916094">
        <w:rPr>
          <w:rFonts w:ascii="Times New Roman" w:eastAsia="Times New Roman" w:hAnsi="Times New Roman" w:cs="Times New Roman"/>
          <w:caps/>
          <w:sz w:val="24"/>
          <w:szCs w:val="24"/>
          <w:lang w:val="en-GB" w:eastAsia="fr-FR"/>
        </w:rPr>
        <w:t xml:space="preserve"> Sandretto</w:t>
      </w:r>
      <w:r w:rsidRPr="00916094">
        <w:rPr>
          <w:rFonts w:ascii="Times New Roman" w:eastAsia="Times New Roman" w:hAnsi="Times New Roman" w:cs="Times New Roman"/>
          <w:sz w:val="24"/>
          <w:szCs w:val="24"/>
          <w:lang w:val="en-GB" w:eastAsia="fr-FR"/>
        </w:rPr>
        <w:t>, Le commerce international – Analyses, institutions et politiques des États, De Boeck / LMD / Éco, 2021</w:t>
      </w:r>
    </w:p>
    <w:p w:rsidR="00B010F5" w:rsidRDefault="00B010F5" w:rsidP="00B010F5">
      <w:pPr>
        <w:numPr>
          <w:ilvl w:val="0"/>
          <w:numId w:val="3"/>
        </w:numPr>
        <w:spacing w:after="240" w:line="240" w:lineRule="auto"/>
        <w:jc w:val="both"/>
        <w:rPr>
          <w:rFonts w:ascii="Times New Roman" w:eastAsia="Times New Roman" w:hAnsi="Times New Roman" w:cs="Times New Roman"/>
          <w:sz w:val="24"/>
          <w:szCs w:val="24"/>
          <w:lang w:val="en-GB" w:eastAsia="fr-FR"/>
        </w:rPr>
      </w:pPr>
      <w:r>
        <w:rPr>
          <w:rFonts w:ascii="Times New Roman" w:eastAsia="Times New Roman" w:hAnsi="Times New Roman" w:cs="Times New Roman"/>
          <w:caps/>
          <w:sz w:val="24"/>
          <w:szCs w:val="24"/>
          <w:lang w:val="en-GB" w:eastAsia="fr-FR"/>
        </w:rPr>
        <w:t>T. Allee, M. Elsig, A.</w:t>
      </w:r>
      <w:r w:rsidRPr="008C7FC4">
        <w:rPr>
          <w:rFonts w:ascii="Times New Roman" w:eastAsia="Times New Roman" w:hAnsi="Times New Roman" w:cs="Times New Roman"/>
          <w:caps/>
          <w:sz w:val="24"/>
          <w:szCs w:val="24"/>
          <w:lang w:val="en-GB" w:eastAsia="fr-FR"/>
        </w:rPr>
        <w:t xml:space="preserve"> Lugg</w:t>
      </w:r>
      <w:r>
        <w:rPr>
          <w:rFonts w:ascii="Times New Roman" w:eastAsia="Times New Roman" w:hAnsi="Times New Roman" w:cs="Times New Roman"/>
          <w:sz w:val="24"/>
          <w:szCs w:val="24"/>
          <w:lang w:val="en-GB" w:eastAsia="fr-FR"/>
        </w:rPr>
        <w:t>,</w:t>
      </w:r>
      <w:r w:rsidRPr="008C7FC4">
        <w:rPr>
          <w:rFonts w:ascii="Times New Roman" w:eastAsia="Times New Roman" w:hAnsi="Times New Roman" w:cs="Times New Roman"/>
          <w:sz w:val="24"/>
          <w:szCs w:val="24"/>
          <w:lang w:val="en-GB" w:eastAsia="fr-FR"/>
        </w:rPr>
        <w:t xml:space="preserve"> </w:t>
      </w:r>
      <w:r>
        <w:rPr>
          <w:rFonts w:ascii="Times New Roman" w:eastAsia="Times New Roman" w:hAnsi="Times New Roman" w:cs="Times New Roman"/>
          <w:sz w:val="24"/>
          <w:szCs w:val="24"/>
          <w:lang w:val="en-GB" w:eastAsia="fr-FR"/>
        </w:rPr>
        <w:t>“</w:t>
      </w:r>
      <w:r w:rsidRPr="008C7FC4">
        <w:rPr>
          <w:rFonts w:ascii="Times New Roman" w:eastAsia="Times New Roman" w:hAnsi="Times New Roman" w:cs="Times New Roman"/>
          <w:sz w:val="24"/>
          <w:szCs w:val="24"/>
          <w:lang w:val="en-GB" w:eastAsia="fr-FR"/>
        </w:rPr>
        <w:t>The Ties between the World Trade Organization and Preferential Trade Agreements: A Textual Analysis</w:t>
      </w:r>
      <w:r>
        <w:rPr>
          <w:rFonts w:ascii="Times New Roman" w:eastAsia="Times New Roman" w:hAnsi="Times New Roman" w:cs="Times New Roman"/>
          <w:sz w:val="24"/>
          <w:szCs w:val="24"/>
          <w:lang w:val="en-GB" w:eastAsia="fr-FR"/>
        </w:rPr>
        <w:t>”</w:t>
      </w:r>
      <w:r w:rsidRPr="008C7FC4">
        <w:rPr>
          <w:rFonts w:ascii="Times New Roman" w:eastAsia="Times New Roman" w:hAnsi="Times New Roman" w:cs="Times New Roman"/>
          <w:sz w:val="24"/>
          <w:szCs w:val="24"/>
          <w:lang w:val="en-GB" w:eastAsia="fr-FR"/>
        </w:rPr>
        <w:t xml:space="preserve">, </w:t>
      </w:r>
      <w:r w:rsidRPr="008C7FC4">
        <w:rPr>
          <w:rFonts w:ascii="Times New Roman" w:eastAsia="Times New Roman" w:hAnsi="Times New Roman" w:cs="Times New Roman"/>
          <w:i/>
          <w:sz w:val="24"/>
          <w:szCs w:val="24"/>
          <w:lang w:val="en-GB" w:eastAsia="fr-FR"/>
        </w:rPr>
        <w:t>Journal of International Economic Law</w:t>
      </w:r>
      <w:r w:rsidRPr="008C7FC4">
        <w:rPr>
          <w:rFonts w:ascii="Times New Roman" w:eastAsia="Times New Roman" w:hAnsi="Times New Roman" w:cs="Times New Roman"/>
          <w:sz w:val="24"/>
          <w:szCs w:val="24"/>
          <w:lang w:val="en-GB" w:eastAsia="fr-FR"/>
        </w:rPr>
        <w:t>, Volume 20, Issue 2, 1 June 2017, Pages 333–363</w:t>
      </w:r>
    </w:p>
    <w:p w:rsidR="00A87067" w:rsidRPr="008C7FC4" w:rsidRDefault="00A87067" w:rsidP="00A87067">
      <w:pPr>
        <w:numPr>
          <w:ilvl w:val="0"/>
          <w:numId w:val="3"/>
        </w:numPr>
        <w:spacing w:after="240" w:line="240" w:lineRule="auto"/>
        <w:jc w:val="both"/>
        <w:rPr>
          <w:rFonts w:ascii="Times New Roman" w:eastAsia="Times New Roman" w:hAnsi="Times New Roman" w:cs="Times New Roman"/>
          <w:sz w:val="24"/>
          <w:szCs w:val="24"/>
          <w:lang w:val="en-GB" w:eastAsia="fr-FR"/>
        </w:rPr>
      </w:pPr>
      <w:r w:rsidRPr="00A87067">
        <w:rPr>
          <w:rFonts w:ascii="Times New Roman" w:eastAsia="Times New Roman" w:hAnsi="Times New Roman" w:cs="Times New Roman"/>
          <w:caps/>
          <w:sz w:val="24"/>
          <w:szCs w:val="24"/>
          <w:lang w:val="en-GB" w:eastAsia="fr-FR"/>
        </w:rPr>
        <w:t>A. Antimiani, L. Salvatici</w:t>
      </w:r>
      <w:r w:rsidRPr="00A87067">
        <w:rPr>
          <w:rFonts w:ascii="Times New Roman" w:eastAsia="Times New Roman" w:hAnsi="Times New Roman" w:cs="Times New Roman"/>
          <w:sz w:val="24"/>
          <w:szCs w:val="24"/>
          <w:lang w:val="en-GB" w:eastAsia="fr-FR"/>
        </w:rPr>
        <w:t>, “Regionalism versus Multilateralism: The Case of the European Union Trade Policy”, Journal of World Trade, vol. 49, n° 2, 2015, pp. 253-275</w:t>
      </w:r>
    </w:p>
    <w:p w:rsidR="00B010F5" w:rsidRPr="00C37C72" w:rsidRDefault="00B010F5" w:rsidP="00B010F5">
      <w:pPr>
        <w:numPr>
          <w:ilvl w:val="0"/>
          <w:numId w:val="3"/>
        </w:numPr>
        <w:spacing w:after="240" w:line="240" w:lineRule="auto"/>
        <w:jc w:val="both"/>
        <w:rPr>
          <w:rFonts w:ascii="Times New Roman" w:eastAsia="Times New Roman" w:hAnsi="Times New Roman" w:cs="Times New Roman"/>
          <w:sz w:val="24"/>
          <w:szCs w:val="24"/>
          <w:lang w:eastAsia="fr-FR"/>
        </w:rPr>
      </w:pPr>
      <w:r w:rsidRPr="008666E8">
        <w:rPr>
          <w:rFonts w:ascii="Times New Roman" w:eastAsia="Times New Roman" w:hAnsi="Times New Roman" w:cs="Times New Roman"/>
          <w:sz w:val="24"/>
          <w:szCs w:val="24"/>
          <w:lang w:eastAsia="fr-FR"/>
        </w:rPr>
        <w:t xml:space="preserve">O. BLIN, « Union européenne et Organisation mondiale du commerce (Aspects institutionnels) », juris-classeur Europe, éd. </w:t>
      </w:r>
      <w:r w:rsidRPr="008C7FC4">
        <w:rPr>
          <w:rFonts w:ascii="Times New Roman" w:eastAsia="Times New Roman" w:hAnsi="Times New Roman" w:cs="Times New Roman"/>
          <w:sz w:val="24"/>
          <w:szCs w:val="24"/>
          <w:lang w:val="en-GB" w:eastAsia="fr-FR"/>
        </w:rPr>
        <w:t>Lexis N</w:t>
      </w:r>
      <w:r>
        <w:rPr>
          <w:rFonts w:ascii="Times New Roman" w:eastAsia="Times New Roman" w:hAnsi="Times New Roman" w:cs="Times New Roman"/>
          <w:sz w:val="24"/>
          <w:szCs w:val="24"/>
          <w:lang w:eastAsia="fr-FR"/>
        </w:rPr>
        <w:t>exis fascicule 2260</w:t>
      </w:r>
    </w:p>
    <w:p w:rsidR="00B010F5" w:rsidRPr="00C37C72" w:rsidRDefault="00B010F5" w:rsidP="00B010F5">
      <w:pPr>
        <w:numPr>
          <w:ilvl w:val="0"/>
          <w:numId w:val="3"/>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 xml:space="preserve">O. BLIN, « Union européenne et Organisation mondiale du commerce (Aspects matériels) », Juris-classeurs Europe, éd. Lexis Nexis, fascicule 2261, </w:t>
      </w:r>
    </w:p>
    <w:p w:rsidR="00B010F5" w:rsidRPr="00C37C72" w:rsidRDefault="00B010F5" w:rsidP="00B010F5">
      <w:pPr>
        <w:numPr>
          <w:ilvl w:val="0"/>
          <w:numId w:val="3"/>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O. BLIN, « Les sanctions dans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Organisation mondiale du commerce », Journal du droit international, n°2, 2008, p.442-466.</w:t>
      </w:r>
    </w:p>
    <w:p w:rsidR="00B010F5" w:rsidRPr="00975A7D" w:rsidRDefault="00B010F5" w:rsidP="00B010F5">
      <w:pPr>
        <w:numPr>
          <w:ilvl w:val="0"/>
          <w:numId w:val="3"/>
        </w:numPr>
        <w:spacing w:after="240" w:line="240" w:lineRule="auto"/>
        <w:jc w:val="both"/>
        <w:rPr>
          <w:rFonts w:ascii="Times New Roman" w:eastAsia="Times New Roman" w:hAnsi="Times New Roman" w:cs="Times New Roman"/>
          <w:sz w:val="24"/>
          <w:szCs w:val="24"/>
          <w:lang w:val="en-GB" w:eastAsia="fr-FR"/>
        </w:rPr>
      </w:pPr>
      <w:r w:rsidRPr="00C37C72">
        <w:rPr>
          <w:rFonts w:ascii="Times New Roman" w:eastAsia="Times New Roman" w:hAnsi="Times New Roman" w:cs="Times New Roman"/>
          <w:sz w:val="24"/>
          <w:szCs w:val="24"/>
          <w:lang w:val="en-GB" w:eastAsia="fr-FR"/>
        </w:rPr>
        <w:t>H.J. BOURGEOIS (d</w:t>
      </w:r>
      <w:r>
        <w:rPr>
          <w:rFonts w:ascii="Times New Roman" w:eastAsia="Times New Roman" w:hAnsi="Times New Roman" w:cs="Times New Roman"/>
          <w:sz w:val="24"/>
          <w:szCs w:val="24"/>
          <w:lang w:val="en-GB" w:eastAsia="fr-FR"/>
        </w:rPr>
        <w:t>ir.), « The Uruguay Results, a European Lawyers P</w:t>
      </w:r>
      <w:r w:rsidRPr="00C37C72">
        <w:rPr>
          <w:rFonts w:ascii="Times New Roman" w:eastAsia="Times New Roman" w:hAnsi="Times New Roman" w:cs="Times New Roman"/>
          <w:sz w:val="24"/>
          <w:szCs w:val="24"/>
          <w:lang w:val="en-GB" w:eastAsia="fr-FR"/>
        </w:rPr>
        <w:t xml:space="preserve">erspectives », éd. </w:t>
      </w:r>
      <w:r w:rsidRPr="00975A7D">
        <w:rPr>
          <w:rFonts w:ascii="Times New Roman" w:eastAsia="Times New Roman" w:hAnsi="Times New Roman" w:cs="Times New Roman"/>
          <w:sz w:val="24"/>
          <w:szCs w:val="24"/>
          <w:lang w:val="en-GB" w:eastAsia="fr-FR"/>
        </w:rPr>
        <w:t>European Interuniversity Press, Bruges, 1995.</w:t>
      </w:r>
    </w:p>
    <w:p w:rsidR="00B010F5" w:rsidRDefault="00B010F5" w:rsidP="00B010F5">
      <w:pPr>
        <w:numPr>
          <w:ilvl w:val="0"/>
          <w:numId w:val="6"/>
        </w:numPr>
        <w:spacing w:after="240" w:line="240" w:lineRule="auto"/>
        <w:ind w:left="427"/>
        <w:jc w:val="both"/>
        <w:rPr>
          <w:rFonts w:ascii="Times New Roman" w:eastAsia="Times New Roman" w:hAnsi="Times New Roman" w:cs="Times New Roman"/>
          <w:sz w:val="24"/>
          <w:szCs w:val="24"/>
          <w:lang w:eastAsia="fr-FR"/>
        </w:rPr>
      </w:pPr>
      <w:r>
        <w:rPr>
          <w:rFonts w:ascii="Times New Roman" w:eastAsia="Times New Roman" w:hAnsi="Times New Roman" w:cs="Times New Roman"/>
          <w:caps/>
          <w:sz w:val="24"/>
          <w:szCs w:val="24"/>
          <w:lang w:eastAsia="fr-FR"/>
        </w:rPr>
        <w:t>R. Bismu</w:t>
      </w:r>
      <w:r w:rsidRPr="00A36448">
        <w:rPr>
          <w:rFonts w:ascii="Times New Roman" w:eastAsia="Times New Roman" w:hAnsi="Times New Roman" w:cs="Times New Roman"/>
          <w:caps/>
          <w:sz w:val="24"/>
          <w:szCs w:val="24"/>
          <w:lang w:eastAsia="fr-FR"/>
        </w:rPr>
        <w:t>th, A. Hamman</w:t>
      </w:r>
      <w:r>
        <w:rPr>
          <w:rFonts w:ascii="Times New Roman" w:eastAsia="Times New Roman" w:hAnsi="Times New Roman" w:cs="Times New Roman"/>
          <w:sz w:val="24"/>
          <w:szCs w:val="24"/>
          <w:lang w:eastAsia="fr-FR"/>
        </w:rPr>
        <w:t xml:space="preserve">, </w:t>
      </w:r>
      <w:r w:rsidRPr="00C37C72">
        <w:rPr>
          <w:rFonts w:ascii="Times New Roman" w:eastAsia="Times New Roman" w:hAnsi="Times New Roman" w:cs="Times New Roman"/>
          <w:sz w:val="24"/>
          <w:szCs w:val="24"/>
          <w:lang w:eastAsia="fr-FR"/>
        </w:rPr>
        <w:t xml:space="preserve">D. CARREAU, P. JUILLARD, « Droit international économique », Précis </w:t>
      </w:r>
      <w:r w:rsidRPr="00C37C72">
        <w:rPr>
          <w:rFonts w:ascii="Times New Roman" w:eastAsia="Times New Roman" w:hAnsi="Times New Roman" w:cs="Times New Roman"/>
          <w:i/>
          <w:sz w:val="24"/>
          <w:szCs w:val="24"/>
          <w:lang w:eastAsia="fr-FR"/>
        </w:rPr>
        <w:t xml:space="preserve">Dalloz, </w:t>
      </w:r>
      <w:r>
        <w:rPr>
          <w:rFonts w:ascii="Times New Roman" w:eastAsia="Times New Roman" w:hAnsi="Times New Roman" w:cs="Times New Roman"/>
          <w:sz w:val="24"/>
          <w:szCs w:val="24"/>
          <w:lang w:eastAsia="fr-FR"/>
        </w:rPr>
        <w:t>6</w:t>
      </w:r>
      <w:r w:rsidRPr="00A36448">
        <w:rPr>
          <w:rFonts w:ascii="Times New Roman" w:eastAsia="Times New Roman" w:hAnsi="Times New Roman" w:cs="Times New Roman"/>
          <w:sz w:val="24"/>
          <w:szCs w:val="24"/>
          <w:vertAlign w:val="superscript"/>
          <w:lang w:eastAsia="fr-FR"/>
        </w:rPr>
        <w:t>ème</w:t>
      </w:r>
      <w:r>
        <w:rPr>
          <w:rFonts w:ascii="Times New Roman" w:eastAsia="Times New Roman" w:hAnsi="Times New Roman" w:cs="Times New Roman"/>
          <w:sz w:val="24"/>
          <w:szCs w:val="24"/>
          <w:lang w:eastAsia="fr-FR"/>
        </w:rPr>
        <w:t xml:space="preserve"> éd., 2017</w:t>
      </w:r>
      <w:r w:rsidRPr="00C37C72">
        <w:rPr>
          <w:rFonts w:ascii="Times New Roman" w:eastAsia="Times New Roman" w:hAnsi="Times New Roman" w:cs="Times New Roman"/>
          <w:sz w:val="24"/>
          <w:szCs w:val="24"/>
          <w:lang w:eastAsia="fr-FR"/>
        </w:rPr>
        <w:t>.</w:t>
      </w:r>
    </w:p>
    <w:p w:rsidR="00916094" w:rsidRDefault="00916094" w:rsidP="00916094">
      <w:pPr>
        <w:numPr>
          <w:ilvl w:val="0"/>
          <w:numId w:val="6"/>
        </w:numPr>
        <w:spacing w:after="240" w:line="240" w:lineRule="auto"/>
        <w:jc w:val="both"/>
        <w:rPr>
          <w:rFonts w:ascii="Times New Roman" w:eastAsia="Times New Roman" w:hAnsi="Times New Roman" w:cs="Times New Roman"/>
          <w:sz w:val="24"/>
          <w:szCs w:val="24"/>
          <w:lang w:eastAsia="fr-FR"/>
        </w:rPr>
      </w:pPr>
      <w:r w:rsidRPr="00916094">
        <w:rPr>
          <w:rFonts w:ascii="Times New Roman" w:eastAsia="Times New Roman" w:hAnsi="Times New Roman" w:cs="Times New Roman"/>
          <w:caps/>
          <w:sz w:val="24"/>
          <w:szCs w:val="24"/>
          <w:lang w:eastAsia="fr-FR"/>
        </w:rPr>
        <w:t>A. Bradford</w:t>
      </w:r>
      <w:r w:rsidRPr="00916094">
        <w:rPr>
          <w:rFonts w:ascii="Times New Roman" w:eastAsia="Times New Roman" w:hAnsi="Times New Roman" w:cs="Times New Roman"/>
          <w:sz w:val="24"/>
          <w:szCs w:val="24"/>
          <w:lang w:eastAsia="fr-FR"/>
        </w:rPr>
        <w:t>, The Brussels Effect, How the European Union Rules the World</w:t>
      </w:r>
      <w:r w:rsidR="00A87067">
        <w:rPr>
          <w:rFonts w:ascii="Times New Roman" w:eastAsia="Times New Roman" w:hAnsi="Times New Roman" w:cs="Times New Roman"/>
          <w:sz w:val="24"/>
          <w:szCs w:val="24"/>
          <w:lang w:eastAsia="fr-FR"/>
        </w:rPr>
        <w:t>, Oxford University Press, 2020</w:t>
      </w:r>
    </w:p>
    <w:p w:rsidR="00A87067" w:rsidRPr="00C37C72" w:rsidRDefault="00A87067" w:rsidP="00A87067">
      <w:pPr>
        <w:numPr>
          <w:ilvl w:val="0"/>
          <w:numId w:val="6"/>
        </w:numPr>
        <w:spacing w:after="240" w:line="240" w:lineRule="auto"/>
        <w:jc w:val="both"/>
        <w:rPr>
          <w:rFonts w:ascii="Times New Roman" w:eastAsia="Times New Roman" w:hAnsi="Times New Roman" w:cs="Times New Roman"/>
          <w:sz w:val="24"/>
          <w:szCs w:val="24"/>
          <w:lang w:eastAsia="fr-FR"/>
        </w:rPr>
      </w:pPr>
      <w:r w:rsidRPr="00A87067">
        <w:rPr>
          <w:rFonts w:ascii="Times New Roman" w:eastAsia="Times New Roman" w:hAnsi="Times New Roman" w:cs="Times New Roman"/>
          <w:caps/>
          <w:sz w:val="24"/>
          <w:szCs w:val="24"/>
          <w:lang w:eastAsia="fr-FR"/>
        </w:rPr>
        <w:t>M. Burri</w:t>
      </w:r>
      <w:r w:rsidRPr="00A87067">
        <w:rPr>
          <w:rFonts w:ascii="Times New Roman" w:eastAsia="Times New Roman" w:hAnsi="Times New Roman" w:cs="Times New Roman"/>
          <w:sz w:val="24"/>
          <w:szCs w:val="24"/>
          <w:lang w:eastAsia="fr-FR"/>
        </w:rPr>
        <w:t xml:space="preserve"> (dir.), Big Data and Global Trade Law, Cambridge University Press, 2021</w:t>
      </w:r>
    </w:p>
    <w:p w:rsidR="00B010F5" w:rsidRPr="00C37C72" w:rsidRDefault="00B010F5" w:rsidP="00B010F5">
      <w:pPr>
        <w:numPr>
          <w:ilvl w:val="0"/>
          <w:numId w:val="6"/>
        </w:numPr>
        <w:spacing w:after="240" w:line="240" w:lineRule="auto"/>
        <w:ind w:left="427"/>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D. CARREAU, P. JUILLARD, « Négociations commerciales internationales », Rép. Internat. Dalloz, 2011.</w:t>
      </w:r>
    </w:p>
    <w:p w:rsidR="00B010F5" w:rsidRPr="00C37C72" w:rsidRDefault="00B010F5" w:rsidP="00B010F5">
      <w:pPr>
        <w:numPr>
          <w:ilvl w:val="0"/>
          <w:numId w:val="6"/>
        </w:numPr>
        <w:spacing w:after="240" w:line="240" w:lineRule="auto"/>
        <w:ind w:left="427"/>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D. CARREAU, « Système commercial multilatéral (volet institutionnel) », Rép. Intern. Da</w:t>
      </w:r>
      <w:r w:rsidRPr="00C37C72">
        <w:rPr>
          <w:rFonts w:ascii="Times New Roman" w:eastAsia="Times New Roman" w:hAnsi="Times New Roman" w:cs="Times New Roman"/>
          <w:sz w:val="24"/>
          <w:szCs w:val="24"/>
          <w:lang w:eastAsia="fr-FR"/>
        </w:rPr>
        <w:tab/>
        <w:t>lloz , 2011.</w:t>
      </w:r>
    </w:p>
    <w:p w:rsidR="00B010F5" w:rsidRPr="00C37C72" w:rsidRDefault="00B010F5" w:rsidP="00B010F5">
      <w:pPr>
        <w:numPr>
          <w:ilvl w:val="0"/>
          <w:numId w:val="6"/>
        </w:numPr>
        <w:spacing w:after="240" w:line="240" w:lineRule="auto"/>
        <w:ind w:left="427"/>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D. CARREAU, « Commerce international multilatéral (droit matériel commun) », Rép. Intern. Dalloz, 2012.</w:t>
      </w:r>
    </w:p>
    <w:p w:rsidR="00B010F5" w:rsidRPr="00C37C72" w:rsidRDefault="00B010F5" w:rsidP="00B010F5">
      <w:pPr>
        <w:numPr>
          <w:ilvl w:val="0"/>
          <w:numId w:val="6"/>
        </w:numPr>
        <w:spacing w:after="240" w:line="240" w:lineRule="auto"/>
        <w:ind w:left="427"/>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D. CARREAU, L. DUBIN, « Services », Rép. Intern. Dalloz, 2013.</w:t>
      </w:r>
    </w:p>
    <w:p w:rsidR="00B010F5" w:rsidRPr="00C37C72" w:rsidRDefault="00B010F5" w:rsidP="00B010F5">
      <w:pPr>
        <w:numPr>
          <w:ilvl w:val="0"/>
          <w:numId w:val="6"/>
        </w:numPr>
        <w:spacing w:after="240" w:line="240" w:lineRule="auto"/>
        <w:ind w:left="427"/>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Ch–E COTE, « La participation des personnes privées au règlement des différends internationaux économiques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élargissement du droit de porter plainte à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 éd. Bruylant, 2007.</w:t>
      </w:r>
    </w:p>
    <w:p w:rsidR="00B010F5" w:rsidRPr="008C7FC4" w:rsidRDefault="00B010F5" w:rsidP="00B010F5">
      <w:pPr>
        <w:numPr>
          <w:ilvl w:val="0"/>
          <w:numId w:val="7"/>
        </w:numPr>
        <w:spacing w:after="240" w:line="240" w:lineRule="auto"/>
        <w:jc w:val="both"/>
        <w:rPr>
          <w:rFonts w:ascii="Times New Roman" w:eastAsia="Times New Roman" w:hAnsi="Times New Roman" w:cs="Times New Roman"/>
          <w:sz w:val="24"/>
          <w:szCs w:val="24"/>
          <w:lang w:eastAsia="fr-FR"/>
        </w:rPr>
      </w:pPr>
      <w:r w:rsidRPr="008C7FC4">
        <w:rPr>
          <w:rFonts w:ascii="Times New Roman" w:eastAsia="Times New Roman" w:hAnsi="Times New Roman" w:cs="Times New Roman"/>
          <w:caps/>
          <w:sz w:val="24"/>
          <w:szCs w:val="24"/>
          <w:lang w:eastAsia="fr-FR"/>
        </w:rPr>
        <w:t>F. Couveinhes Matsumoto</w:t>
      </w:r>
      <w:r w:rsidRPr="008C7FC4">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w:t>
      </w:r>
      <w:r w:rsidRPr="008C7FC4">
        <w:rPr>
          <w:rFonts w:ascii="Times New Roman" w:eastAsia="Times New Roman" w:hAnsi="Times New Roman" w:cs="Times New Roman"/>
          <w:sz w:val="24"/>
          <w:szCs w:val="24"/>
          <w:lang w:eastAsia="fr-FR"/>
        </w:rPr>
        <w:t>L’épopée de la Wallonie et la signature de l’AECG/CETA</w:t>
      </w:r>
      <w:r>
        <w:rPr>
          <w:rFonts w:ascii="Times New Roman" w:eastAsia="Times New Roman" w:hAnsi="Times New Roman" w:cs="Times New Roman"/>
          <w:sz w:val="24"/>
          <w:szCs w:val="24"/>
          <w:lang w:eastAsia="fr-FR"/>
        </w:rPr>
        <w:t> »</w:t>
      </w:r>
      <w:r w:rsidRPr="008C7FC4">
        <w:rPr>
          <w:rFonts w:ascii="Times New Roman" w:eastAsia="Times New Roman" w:hAnsi="Times New Roman" w:cs="Times New Roman"/>
          <w:sz w:val="24"/>
          <w:szCs w:val="24"/>
          <w:lang w:eastAsia="fr-FR"/>
        </w:rPr>
        <w:t xml:space="preserve">, </w:t>
      </w:r>
      <w:r w:rsidRPr="008C7FC4">
        <w:rPr>
          <w:rFonts w:ascii="Times New Roman" w:eastAsia="Times New Roman" w:hAnsi="Times New Roman" w:cs="Times New Roman"/>
          <w:i/>
          <w:sz w:val="24"/>
          <w:szCs w:val="24"/>
          <w:lang w:eastAsia="fr-FR"/>
        </w:rPr>
        <w:t>RGDIP</w:t>
      </w:r>
      <w:r w:rsidRPr="008C7FC4">
        <w:rPr>
          <w:rFonts w:ascii="Times New Roman" w:eastAsia="Times New Roman" w:hAnsi="Times New Roman" w:cs="Times New Roman"/>
          <w:sz w:val="24"/>
          <w:szCs w:val="24"/>
          <w:lang w:eastAsia="fr-FR"/>
        </w:rPr>
        <w:t>, 2017, n° 1, pp. 69-85</w:t>
      </w:r>
    </w:p>
    <w:p w:rsidR="00B010F5" w:rsidRDefault="00B010F5" w:rsidP="00B010F5">
      <w:pPr>
        <w:numPr>
          <w:ilvl w:val="0"/>
          <w:numId w:val="7"/>
        </w:numPr>
        <w:spacing w:after="240" w:line="240" w:lineRule="auto"/>
        <w:jc w:val="both"/>
        <w:rPr>
          <w:rFonts w:ascii="Times New Roman" w:eastAsia="Times New Roman" w:hAnsi="Times New Roman" w:cs="Times New Roman"/>
          <w:sz w:val="24"/>
          <w:szCs w:val="24"/>
          <w:lang w:eastAsia="fr-FR"/>
        </w:rPr>
      </w:pPr>
      <w:r w:rsidRPr="008C7FC4">
        <w:rPr>
          <w:rFonts w:ascii="Times New Roman" w:eastAsia="Times New Roman" w:hAnsi="Times New Roman" w:cs="Times New Roman"/>
          <w:caps/>
          <w:sz w:val="24"/>
          <w:szCs w:val="24"/>
          <w:lang w:eastAsia="fr-FR"/>
        </w:rPr>
        <w:t>F. Couveinhes Matsumoto</w:t>
      </w:r>
      <w:r w:rsidRPr="008C7FC4">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eastAsia="fr-FR"/>
        </w:rPr>
        <w:t>« </w:t>
      </w:r>
      <w:r w:rsidRPr="008C7FC4">
        <w:rPr>
          <w:rFonts w:ascii="Times New Roman" w:eastAsia="Times New Roman" w:hAnsi="Times New Roman" w:cs="Times New Roman"/>
          <w:sz w:val="24"/>
          <w:szCs w:val="24"/>
          <w:lang w:eastAsia="fr-FR"/>
        </w:rPr>
        <w:t>L’accord commercial entre l’UE et ses Etats membres d’une part, et la Colombie et le Pérou, d’autre part : un révélateur de deux maladies du droit international actuel</w:t>
      </w:r>
      <w:r>
        <w:rPr>
          <w:rFonts w:ascii="Times New Roman" w:eastAsia="Times New Roman" w:hAnsi="Times New Roman" w:cs="Times New Roman"/>
          <w:sz w:val="24"/>
          <w:szCs w:val="24"/>
          <w:lang w:eastAsia="fr-FR"/>
        </w:rPr>
        <w:t> »</w:t>
      </w:r>
      <w:r w:rsidRPr="008C7FC4">
        <w:rPr>
          <w:rFonts w:ascii="Times New Roman" w:eastAsia="Times New Roman" w:hAnsi="Times New Roman" w:cs="Times New Roman"/>
          <w:sz w:val="24"/>
          <w:szCs w:val="24"/>
          <w:lang w:eastAsia="fr-FR"/>
        </w:rPr>
        <w:t xml:space="preserve">, </w:t>
      </w:r>
      <w:r w:rsidRPr="008C7FC4">
        <w:rPr>
          <w:rFonts w:ascii="Times New Roman" w:eastAsia="Times New Roman" w:hAnsi="Times New Roman" w:cs="Times New Roman"/>
          <w:i/>
          <w:sz w:val="24"/>
          <w:szCs w:val="24"/>
          <w:lang w:eastAsia="fr-FR"/>
        </w:rPr>
        <w:t>RGDIP</w:t>
      </w:r>
      <w:r w:rsidRPr="008C7FC4">
        <w:rPr>
          <w:rFonts w:ascii="Times New Roman" w:eastAsia="Times New Roman" w:hAnsi="Times New Roman" w:cs="Times New Roman"/>
          <w:sz w:val="24"/>
          <w:szCs w:val="24"/>
          <w:lang w:eastAsia="fr-FR"/>
        </w:rPr>
        <w:t>, 2016, n° 2, 293-332</w:t>
      </w:r>
    </w:p>
    <w:p w:rsidR="00A87067" w:rsidRDefault="00A87067" w:rsidP="00A87067">
      <w:pPr>
        <w:numPr>
          <w:ilvl w:val="0"/>
          <w:numId w:val="7"/>
        </w:numPr>
        <w:spacing w:after="240" w:line="240" w:lineRule="auto"/>
        <w:jc w:val="both"/>
        <w:rPr>
          <w:rFonts w:ascii="Times New Roman" w:eastAsia="Times New Roman" w:hAnsi="Times New Roman" w:cs="Times New Roman"/>
          <w:sz w:val="24"/>
          <w:szCs w:val="24"/>
          <w:lang w:eastAsia="fr-FR"/>
        </w:rPr>
      </w:pPr>
      <w:r w:rsidRPr="00A87067">
        <w:rPr>
          <w:rFonts w:ascii="Times New Roman" w:eastAsia="Times New Roman" w:hAnsi="Times New Roman" w:cs="Times New Roman"/>
          <w:caps/>
          <w:sz w:val="24"/>
          <w:szCs w:val="24"/>
          <w:lang w:eastAsia="fr-FR"/>
        </w:rPr>
        <w:t>Ph. Delebecque, J.-M. Jacquet &amp; L. Usunier</w:t>
      </w:r>
      <w:r w:rsidRPr="00A87067">
        <w:rPr>
          <w:rFonts w:ascii="Times New Roman" w:eastAsia="Times New Roman" w:hAnsi="Times New Roman" w:cs="Times New Roman"/>
          <w:sz w:val="24"/>
          <w:szCs w:val="24"/>
          <w:lang w:eastAsia="fr-FR"/>
        </w:rPr>
        <w:t>, Droit du commerce international, Précis Dalloz, 2021</w:t>
      </w:r>
    </w:p>
    <w:p w:rsidR="00A87067" w:rsidRPr="008C7FC4" w:rsidRDefault="00A87067" w:rsidP="00A87067">
      <w:pPr>
        <w:numPr>
          <w:ilvl w:val="0"/>
          <w:numId w:val="7"/>
        </w:numPr>
        <w:spacing w:after="240" w:line="240" w:lineRule="auto"/>
        <w:jc w:val="both"/>
        <w:rPr>
          <w:rFonts w:ascii="Times New Roman" w:eastAsia="Times New Roman" w:hAnsi="Times New Roman" w:cs="Times New Roman"/>
          <w:sz w:val="24"/>
          <w:szCs w:val="24"/>
          <w:lang w:eastAsia="fr-FR"/>
        </w:rPr>
      </w:pPr>
      <w:r w:rsidRPr="00A87067">
        <w:rPr>
          <w:rFonts w:ascii="Times New Roman" w:eastAsia="Times New Roman" w:hAnsi="Times New Roman" w:cs="Times New Roman"/>
          <w:caps/>
          <w:sz w:val="24"/>
          <w:szCs w:val="24"/>
          <w:lang w:eastAsia="fr-FR"/>
        </w:rPr>
        <w:t>L. Dubin</w:t>
      </w:r>
      <w:r w:rsidRPr="00A87067">
        <w:rPr>
          <w:rFonts w:ascii="Times New Roman" w:eastAsia="Times New Roman" w:hAnsi="Times New Roman" w:cs="Times New Roman"/>
          <w:sz w:val="24"/>
          <w:szCs w:val="24"/>
          <w:lang w:eastAsia="fr-FR"/>
        </w:rPr>
        <w:t>, « Accord commerciaux préférentiels », Rép. Dalloz Droit international, 2017</w:t>
      </w:r>
    </w:p>
    <w:p w:rsidR="00B010F5" w:rsidRDefault="00B010F5" w:rsidP="00B010F5">
      <w:pPr>
        <w:numPr>
          <w:ilvl w:val="0"/>
          <w:numId w:val="9"/>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D. GADBIN, A. HERVE, « Le Règlement sur les obstacles au commerce (ROC) », Jurisclasseur Europe, fascicule n°2330, 2012.</w:t>
      </w:r>
    </w:p>
    <w:p w:rsidR="00B010F5" w:rsidRPr="009225A8" w:rsidRDefault="00B010F5" w:rsidP="00B010F5">
      <w:pPr>
        <w:numPr>
          <w:ilvl w:val="0"/>
          <w:numId w:val="9"/>
        </w:numPr>
        <w:spacing w:after="240" w:line="240" w:lineRule="auto"/>
        <w:jc w:val="both"/>
        <w:rPr>
          <w:rFonts w:ascii="Times New Roman" w:eastAsia="Times New Roman" w:hAnsi="Times New Roman" w:cs="Times New Roman"/>
          <w:sz w:val="24"/>
          <w:szCs w:val="24"/>
          <w:lang w:val="en-GB" w:eastAsia="fr-FR"/>
        </w:rPr>
      </w:pPr>
      <w:r>
        <w:rPr>
          <w:rFonts w:ascii="Times New Roman" w:eastAsia="Times New Roman" w:hAnsi="Times New Roman" w:cs="Times New Roman"/>
          <w:caps/>
          <w:sz w:val="24"/>
          <w:szCs w:val="24"/>
          <w:lang w:val="en-GB" w:eastAsia="fr-FR"/>
        </w:rPr>
        <w:t>H. Gao &amp;</w:t>
      </w:r>
      <w:r w:rsidRPr="009225A8">
        <w:rPr>
          <w:rFonts w:ascii="Times New Roman" w:eastAsia="Times New Roman" w:hAnsi="Times New Roman" w:cs="Times New Roman"/>
          <w:caps/>
          <w:sz w:val="24"/>
          <w:szCs w:val="24"/>
          <w:lang w:val="en-GB" w:eastAsia="fr-FR"/>
        </w:rPr>
        <w:t xml:space="preserve"> G. Shaffer</w:t>
      </w:r>
      <w:r w:rsidRPr="009225A8">
        <w:rPr>
          <w:rFonts w:ascii="Times New Roman" w:eastAsia="Times New Roman" w:hAnsi="Times New Roman" w:cs="Times New Roman"/>
          <w:sz w:val="24"/>
          <w:szCs w:val="24"/>
          <w:lang w:val="en-GB" w:eastAsia="fr-FR"/>
        </w:rPr>
        <w:t>, “A New Chinese Economic Law Order?”, Legal Studies Research Paper Series</w:t>
      </w:r>
      <w:r>
        <w:rPr>
          <w:rFonts w:ascii="Times New Roman" w:eastAsia="Times New Roman" w:hAnsi="Times New Roman" w:cs="Times New Roman"/>
          <w:sz w:val="24"/>
          <w:szCs w:val="24"/>
          <w:lang w:val="en-GB" w:eastAsia="fr-FR"/>
        </w:rPr>
        <w:t>,</w:t>
      </w:r>
      <w:r w:rsidRPr="009225A8">
        <w:rPr>
          <w:rFonts w:ascii="Times New Roman" w:eastAsia="Times New Roman" w:hAnsi="Times New Roman" w:cs="Times New Roman"/>
          <w:sz w:val="24"/>
          <w:szCs w:val="24"/>
          <w:lang w:val="en-GB" w:eastAsia="fr-FR"/>
        </w:rPr>
        <w:t xml:space="preserve"> No. 2019-21</w:t>
      </w:r>
    </w:p>
    <w:p w:rsidR="00B010F5" w:rsidRPr="00C37C72" w:rsidRDefault="00B010F5" w:rsidP="00B010F5">
      <w:pPr>
        <w:numPr>
          <w:ilvl w:val="0"/>
          <w:numId w:val="10"/>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TH. GARCIA, V. TOMKIEWICZ,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organisation mondiale du commerce et les sujets de droit », éd. Bruylant, Bruxelles, 2011.</w:t>
      </w:r>
    </w:p>
    <w:p w:rsidR="00B010F5" w:rsidRPr="00C37C72" w:rsidRDefault="00B010F5" w:rsidP="00B010F5">
      <w:pPr>
        <w:numPr>
          <w:ilvl w:val="0"/>
          <w:numId w:val="10"/>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TH. GARCIA, V. TOMKIEWICZ, D. PAVOT, “Les sources et les normes dans le droit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éd. A. Pedone, Paris, 2012.</w:t>
      </w:r>
    </w:p>
    <w:p w:rsidR="00B010F5" w:rsidRDefault="00B010F5" w:rsidP="00B010F5">
      <w:pPr>
        <w:numPr>
          <w:ilvl w:val="0"/>
          <w:numId w:val="10"/>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H. GHERARI, « OMC et accords commerciaux régionaux, le bilatéralisme conquérant ou le nouveau visage du commerce international », RGDIP, n°2, 2008, p. 255-293.</w:t>
      </w:r>
    </w:p>
    <w:p w:rsidR="00B010F5" w:rsidRPr="00C37C72" w:rsidRDefault="00B010F5" w:rsidP="00B010F5">
      <w:pPr>
        <w:numPr>
          <w:ilvl w:val="0"/>
          <w:numId w:val="10"/>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H.</w:t>
      </w:r>
      <w:r>
        <w:rPr>
          <w:rFonts w:ascii="Times New Roman" w:eastAsia="Times New Roman" w:hAnsi="Times New Roman" w:cs="Times New Roman"/>
          <w:sz w:val="24"/>
          <w:szCs w:val="24"/>
          <w:lang w:eastAsia="fr-FR"/>
        </w:rPr>
        <w:t xml:space="preserve"> </w:t>
      </w:r>
      <w:r w:rsidRPr="00C37C72">
        <w:rPr>
          <w:rFonts w:ascii="Times New Roman" w:eastAsia="Times New Roman" w:hAnsi="Times New Roman" w:cs="Times New Roman"/>
          <w:sz w:val="24"/>
          <w:szCs w:val="24"/>
          <w:lang w:eastAsia="fr-FR"/>
        </w:rPr>
        <w:t>GHERARI, « Les accords commerciaux préférentiels </w:t>
      </w:r>
      <w:r>
        <w:rPr>
          <w:rFonts w:ascii="Times New Roman" w:eastAsia="Times New Roman" w:hAnsi="Times New Roman" w:cs="Times New Roman"/>
          <w:sz w:val="24"/>
          <w:szCs w:val="24"/>
          <w:lang w:eastAsia="fr-FR"/>
        </w:rPr>
        <w:t>», éd. Larcier , Bruxelles, 2013</w:t>
      </w:r>
      <w:r w:rsidRPr="00C37C72">
        <w:rPr>
          <w:rFonts w:ascii="Times New Roman" w:eastAsia="Times New Roman" w:hAnsi="Times New Roman" w:cs="Times New Roman"/>
          <w:sz w:val="24"/>
          <w:szCs w:val="24"/>
          <w:lang w:eastAsia="fr-FR"/>
        </w:rPr>
        <w:t>.</w:t>
      </w:r>
    </w:p>
    <w:p w:rsidR="00B010F5" w:rsidRDefault="00B010F5" w:rsidP="00B010F5">
      <w:pPr>
        <w:numPr>
          <w:ilvl w:val="0"/>
          <w:numId w:val="10"/>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H. GHERARI,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à bout de souffle ? »</w:t>
      </w:r>
      <w:r w:rsidR="00A87067">
        <w:rPr>
          <w:rFonts w:ascii="Times New Roman" w:eastAsia="Times New Roman" w:hAnsi="Times New Roman" w:cs="Times New Roman"/>
          <w:sz w:val="24"/>
          <w:szCs w:val="24"/>
          <w:lang w:eastAsia="fr-FR"/>
        </w:rPr>
        <w:t>, R.G.D.I.P., 2012, pp. 111-134</w:t>
      </w:r>
    </w:p>
    <w:p w:rsidR="00A87067" w:rsidRDefault="00A87067" w:rsidP="00A87067">
      <w:pPr>
        <w:numPr>
          <w:ilvl w:val="0"/>
          <w:numId w:val="10"/>
        </w:numPr>
        <w:spacing w:after="240" w:line="240" w:lineRule="auto"/>
        <w:jc w:val="both"/>
        <w:rPr>
          <w:rFonts w:ascii="Times New Roman" w:eastAsia="Times New Roman" w:hAnsi="Times New Roman" w:cs="Times New Roman"/>
          <w:sz w:val="24"/>
          <w:szCs w:val="24"/>
          <w:lang w:eastAsia="fr-FR"/>
        </w:rPr>
      </w:pPr>
      <w:r w:rsidRPr="00A87067">
        <w:rPr>
          <w:rFonts w:ascii="Times New Roman" w:eastAsia="Times New Roman" w:hAnsi="Times New Roman" w:cs="Times New Roman"/>
          <w:caps/>
          <w:sz w:val="24"/>
          <w:szCs w:val="24"/>
          <w:lang w:eastAsia="fr-FR"/>
        </w:rPr>
        <w:t>H. Ghérari</w:t>
      </w:r>
      <w:r w:rsidRPr="00A87067">
        <w:rPr>
          <w:rFonts w:ascii="Times New Roman" w:eastAsia="Times New Roman" w:hAnsi="Times New Roman" w:cs="Times New Roman"/>
          <w:sz w:val="24"/>
          <w:szCs w:val="24"/>
          <w:lang w:eastAsia="fr-FR"/>
        </w:rPr>
        <w:t>, Le Droit international des échanges, Bruylant / Droit international, 2017</w:t>
      </w:r>
    </w:p>
    <w:p w:rsidR="00B010F5" w:rsidRPr="00C37C72" w:rsidRDefault="00B010F5" w:rsidP="00B010F5">
      <w:pPr>
        <w:numPr>
          <w:ilvl w:val="0"/>
          <w:numId w:val="10"/>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V. GUIEVREMONT, « Valeurs non marchandes et droit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 éd. Bruylant, Bruxelles, 2013.</w:t>
      </w:r>
    </w:p>
    <w:p w:rsidR="00B010F5" w:rsidRPr="00C37C72"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A. HERVE,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Union européenne et la juridictionnalisation du système de règlement des différends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 éd. Bruylant, Bruxelles,</w:t>
      </w:r>
    </w:p>
    <w:p w:rsidR="00B010F5" w:rsidRPr="00C37C72"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A. HERVE,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 xml:space="preserve">Union européenne comme acteur émergent du droit des investissements étrangers », </w:t>
      </w:r>
      <w:r w:rsidRPr="009225A8">
        <w:rPr>
          <w:rFonts w:ascii="Times New Roman" w:eastAsia="Times New Roman" w:hAnsi="Times New Roman" w:cs="Times New Roman"/>
          <w:i/>
          <w:sz w:val="24"/>
          <w:szCs w:val="24"/>
          <w:lang w:eastAsia="fr-FR"/>
        </w:rPr>
        <w:t>Cahiers de droit européen</w:t>
      </w:r>
      <w:r w:rsidRPr="00C37C72">
        <w:rPr>
          <w:rFonts w:ascii="Times New Roman" w:eastAsia="Times New Roman" w:hAnsi="Times New Roman" w:cs="Times New Roman"/>
          <w:sz w:val="24"/>
          <w:szCs w:val="24"/>
          <w:lang w:eastAsia="fr-FR"/>
        </w:rPr>
        <w:t xml:space="preserve">, 2015, n°1, pp. 177 et suiv. </w:t>
      </w:r>
    </w:p>
    <w:p w:rsidR="00B010F5"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A. HERVE, «</w:t>
      </w:r>
      <w:r>
        <w:rPr>
          <w:rFonts w:ascii="Times New Roman" w:eastAsia="Times New Roman" w:hAnsi="Times New Roman" w:cs="Times New Roman"/>
          <w:sz w:val="24"/>
          <w:szCs w:val="24"/>
          <w:lang w:eastAsia="fr-FR"/>
        </w:rPr>
        <w:t xml:space="preserve"> </w:t>
      </w:r>
      <w:r w:rsidRPr="00C37C72">
        <w:rPr>
          <w:rFonts w:ascii="Times New Roman" w:eastAsia="Times New Roman" w:hAnsi="Times New Roman" w:cs="Times New Roman"/>
          <w:sz w:val="24"/>
          <w:szCs w:val="24"/>
          <w:lang w:eastAsia="fr-FR"/>
        </w:rPr>
        <w:t>Protectionnisme et politique commerciale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Union européenne » in Protectionnisme et droit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Union européenne (dir. S. Barbou des Places),</w:t>
      </w:r>
      <w:r>
        <w:rPr>
          <w:rFonts w:ascii="Times New Roman" w:eastAsia="Times New Roman" w:hAnsi="Times New Roman" w:cs="Times New Roman"/>
          <w:sz w:val="24"/>
          <w:szCs w:val="24"/>
          <w:lang w:eastAsia="fr-FR"/>
        </w:rPr>
        <w:t xml:space="preserve"> Cahier de l’IREDIES, Paris 1, 2014</w:t>
      </w:r>
    </w:p>
    <w:p w:rsidR="00B010F5" w:rsidRPr="00F51D68" w:rsidRDefault="009337C9" w:rsidP="009337C9">
      <w:pPr>
        <w:numPr>
          <w:ilvl w:val="0"/>
          <w:numId w:val="11"/>
        </w:numPr>
        <w:spacing w:after="240" w:line="240" w:lineRule="auto"/>
        <w:jc w:val="both"/>
        <w:rPr>
          <w:rFonts w:ascii="Times New Roman" w:eastAsia="Times New Roman" w:hAnsi="Times New Roman" w:cs="Times New Roman"/>
          <w:sz w:val="24"/>
          <w:szCs w:val="24"/>
          <w:lang w:val="en-GB" w:eastAsia="fr-FR"/>
        </w:rPr>
      </w:pPr>
      <w:r w:rsidRPr="009337C9">
        <w:rPr>
          <w:rFonts w:ascii="Times New Roman" w:eastAsia="Times New Roman" w:hAnsi="Times New Roman" w:cs="Times New Roman"/>
          <w:sz w:val="24"/>
          <w:szCs w:val="24"/>
          <w:lang w:val="en-GB" w:eastAsia="fr-FR"/>
        </w:rPr>
        <w:t>A. HERVE,</w:t>
      </w:r>
      <w:r w:rsidR="00B010F5" w:rsidRPr="00F51D68">
        <w:rPr>
          <w:rFonts w:ascii="Times New Roman" w:eastAsia="Times New Roman" w:hAnsi="Times New Roman" w:cs="Times New Roman"/>
          <w:sz w:val="24"/>
          <w:szCs w:val="24"/>
          <w:lang w:val="en-GB" w:eastAsia="fr-FR"/>
        </w:rPr>
        <w:t xml:space="preserve">« Practices in Sustainable Energy Goods and Services » (en collaboration avec D. LUFF) in G. C. HUFBAUER, R. MELÉNDEZ-ORTIZ, R. SAMANS </w:t>
      </w:r>
      <w:r w:rsidR="00B010F5" w:rsidRPr="00F51D68">
        <w:rPr>
          <w:rFonts w:ascii="Times New Roman" w:eastAsia="Times New Roman" w:hAnsi="Times New Roman" w:cs="Times New Roman"/>
          <w:i/>
          <w:sz w:val="24"/>
          <w:szCs w:val="24"/>
          <w:lang w:val="en-GB" w:eastAsia="fr-FR"/>
        </w:rPr>
        <w:t>The Law and Economics of a Sustainable Energy Trade Agreement</w:t>
      </w:r>
      <w:r w:rsidR="00B010F5" w:rsidRPr="00F51D68">
        <w:rPr>
          <w:rFonts w:ascii="Times New Roman" w:eastAsia="Times New Roman" w:hAnsi="Times New Roman" w:cs="Times New Roman"/>
          <w:sz w:val="24"/>
          <w:szCs w:val="24"/>
          <w:lang w:val="en-GB" w:eastAsia="fr-FR"/>
        </w:rPr>
        <w:t>, 2016, Cambridge University Press, pp. 196-241.</w:t>
      </w:r>
    </w:p>
    <w:p w:rsidR="00B010F5"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 xml:space="preserve">A. HERVE, </w:t>
      </w:r>
      <w:r w:rsidRPr="00AB58DC">
        <w:rPr>
          <w:rFonts w:ascii="Times New Roman" w:eastAsia="Times New Roman" w:hAnsi="Times New Roman" w:cs="Times New Roman"/>
          <w:sz w:val="24"/>
          <w:szCs w:val="24"/>
          <w:lang w:eastAsia="fr-FR"/>
        </w:rPr>
        <w:t>« L</w:t>
      </w:r>
      <w:r>
        <w:rPr>
          <w:rFonts w:ascii="Times New Roman" w:eastAsia="Times New Roman" w:hAnsi="Times New Roman" w:cs="Times New Roman"/>
          <w:sz w:val="24"/>
          <w:szCs w:val="24"/>
          <w:lang w:eastAsia="fr-FR"/>
        </w:rPr>
        <w:t>’</w:t>
      </w:r>
      <w:r w:rsidRPr="00AB58DC">
        <w:rPr>
          <w:rFonts w:ascii="Times New Roman" w:eastAsia="Times New Roman" w:hAnsi="Times New Roman" w:cs="Times New Roman"/>
          <w:sz w:val="24"/>
          <w:szCs w:val="24"/>
          <w:lang w:eastAsia="fr-FR"/>
        </w:rPr>
        <w:t>Avis 2/15 de la Cour de justice - Et maintenant, que faire du partage des compétences entre l’Union et ses États ? », Cahiers de droit européen, 2017, n°, pp. 693-736</w:t>
      </w:r>
      <w:r w:rsidRPr="00C37C72">
        <w:rPr>
          <w:rFonts w:ascii="Times New Roman" w:eastAsia="Times New Roman" w:hAnsi="Times New Roman" w:cs="Times New Roman"/>
          <w:sz w:val="24"/>
          <w:szCs w:val="24"/>
          <w:lang w:eastAsia="fr-FR"/>
        </w:rPr>
        <w:t>014, pp. 39-65.</w:t>
      </w:r>
    </w:p>
    <w:p w:rsidR="00B010F5" w:rsidRPr="009225A8"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9225A8">
        <w:rPr>
          <w:rFonts w:ascii="Times New Roman" w:eastAsia="Times New Roman" w:hAnsi="Times New Roman" w:cs="Times New Roman"/>
          <w:sz w:val="24"/>
          <w:szCs w:val="24"/>
          <w:lang w:eastAsia="fr-FR"/>
        </w:rPr>
        <w:t xml:space="preserve">A. HERVE, « Système de préférences généralisées (SPG) », Jurisclasseur Europe, fascicule n°2350, 2017. </w:t>
      </w:r>
    </w:p>
    <w:p w:rsidR="00B010F5"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975A7D">
        <w:rPr>
          <w:rFonts w:ascii="Times New Roman" w:eastAsia="Times New Roman" w:hAnsi="Times New Roman" w:cs="Times New Roman"/>
          <w:sz w:val="24"/>
          <w:szCs w:val="24"/>
          <w:lang w:eastAsia="fr-FR"/>
        </w:rPr>
        <w:t>A. HERVE, « L</w:t>
      </w:r>
      <w:r>
        <w:rPr>
          <w:rFonts w:ascii="Times New Roman" w:eastAsia="Times New Roman" w:hAnsi="Times New Roman" w:cs="Times New Roman"/>
          <w:sz w:val="24"/>
          <w:szCs w:val="24"/>
          <w:lang w:eastAsia="fr-FR"/>
        </w:rPr>
        <w:t>’</w:t>
      </w:r>
      <w:r w:rsidRPr="00975A7D">
        <w:rPr>
          <w:rFonts w:ascii="Times New Roman" w:eastAsia="Times New Roman" w:hAnsi="Times New Roman" w:cs="Times New Roman"/>
          <w:sz w:val="24"/>
          <w:szCs w:val="24"/>
          <w:lang w:eastAsia="fr-FR"/>
        </w:rPr>
        <w:t>influence des acteurs privés sur les décisions de politique commerciale de l</w:t>
      </w:r>
      <w:r>
        <w:rPr>
          <w:rFonts w:ascii="Times New Roman" w:eastAsia="Times New Roman" w:hAnsi="Times New Roman" w:cs="Times New Roman"/>
          <w:sz w:val="24"/>
          <w:szCs w:val="24"/>
          <w:lang w:eastAsia="fr-FR"/>
        </w:rPr>
        <w:t>’</w:t>
      </w:r>
      <w:r w:rsidRPr="00975A7D">
        <w:rPr>
          <w:rFonts w:ascii="Times New Roman" w:eastAsia="Times New Roman" w:hAnsi="Times New Roman" w:cs="Times New Roman"/>
          <w:sz w:val="24"/>
          <w:szCs w:val="24"/>
          <w:lang w:eastAsia="fr-FR"/>
        </w:rPr>
        <w:t>Union européenne », in Acte du colloque, Les méthodes de l</w:t>
      </w:r>
      <w:r>
        <w:rPr>
          <w:rFonts w:ascii="Times New Roman" w:eastAsia="Times New Roman" w:hAnsi="Times New Roman" w:cs="Times New Roman"/>
          <w:sz w:val="24"/>
          <w:szCs w:val="24"/>
          <w:lang w:eastAsia="fr-FR"/>
        </w:rPr>
        <w:t>’</w:t>
      </w:r>
      <w:r w:rsidRPr="00975A7D">
        <w:rPr>
          <w:rFonts w:ascii="Times New Roman" w:eastAsia="Times New Roman" w:hAnsi="Times New Roman" w:cs="Times New Roman"/>
          <w:sz w:val="24"/>
          <w:szCs w:val="24"/>
          <w:lang w:eastAsia="fr-FR"/>
        </w:rPr>
        <w:t>Union européenne, B. Bertrand et L. Clément Wiltz, à paraître</w:t>
      </w:r>
      <w:r>
        <w:rPr>
          <w:rFonts w:ascii="Times New Roman" w:eastAsia="Times New Roman" w:hAnsi="Times New Roman" w:cs="Times New Roman"/>
          <w:sz w:val="24"/>
          <w:szCs w:val="24"/>
          <w:lang w:eastAsia="fr-FR"/>
        </w:rPr>
        <w:t xml:space="preserve"> (figure en annexe)</w:t>
      </w:r>
      <w:r w:rsidRPr="00975A7D">
        <w:rPr>
          <w:rFonts w:ascii="Times New Roman" w:eastAsia="Times New Roman" w:hAnsi="Times New Roman" w:cs="Times New Roman"/>
          <w:sz w:val="24"/>
          <w:szCs w:val="24"/>
          <w:lang w:eastAsia="fr-FR"/>
        </w:rPr>
        <w:t>.</w:t>
      </w:r>
    </w:p>
    <w:p w:rsidR="00B010F5"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3B5673">
        <w:rPr>
          <w:rFonts w:ascii="Times New Roman" w:eastAsia="Times New Roman" w:hAnsi="Times New Roman" w:cs="Times New Roman"/>
          <w:sz w:val="24"/>
          <w:szCs w:val="24"/>
          <w:lang w:eastAsia="fr-FR"/>
        </w:rPr>
        <w:t>A. HERVE, « L</w:t>
      </w:r>
      <w:r>
        <w:rPr>
          <w:rFonts w:ascii="Times New Roman" w:eastAsia="Times New Roman" w:hAnsi="Times New Roman" w:cs="Times New Roman"/>
          <w:sz w:val="24"/>
          <w:szCs w:val="24"/>
          <w:lang w:eastAsia="fr-FR"/>
        </w:rPr>
        <w:t>’</w:t>
      </w:r>
      <w:r w:rsidRPr="003B5673">
        <w:rPr>
          <w:rFonts w:ascii="Times New Roman" w:eastAsia="Times New Roman" w:hAnsi="Times New Roman" w:cs="Times New Roman"/>
          <w:sz w:val="24"/>
          <w:szCs w:val="24"/>
          <w:lang w:eastAsia="fr-FR"/>
        </w:rPr>
        <w:t>impact des accords commerciaux sur la libéralisation des services de santé », in Guillaume Le Floch et Thibaut Fleury Graff (dir.), Santé et droit international, SFDI. Colloque de Rennes, Pédone, p. 457, 2019</w:t>
      </w:r>
      <w:r>
        <w:rPr>
          <w:rFonts w:ascii="Times New Roman" w:eastAsia="Times New Roman" w:hAnsi="Times New Roman" w:cs="Times New Roman"/>
          <w:sz w:val="24"/>
          <w:szCs w:val="24"/>
          <w:lang w:eastAsia="fr-FR"/>
        </w:rPr>
        <w:t xml:space="preserve">. </w:t>
      </w:r>
    </w:p>
    <w:p w:rsidR="00B010F5"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3B5673">
        <w:rPr>
          <w:rFonts w:ascii="Times New Roman" w:eastAsia="Times New Roman" w:hAnsi="Times New Roman" w:cs="Times New Roman"/>
          <w:sz w:val="24"/>
          <w:szCs w:val="24"/>
          <w:lang w:eastAsia="fr-FR"/>
        </w:rPr>
        <w:t>A. HERVE, « Les outils conventionnels de construction et de déconstruction des espaces économiques », in Actes du colloque Le droit international : entre espaces et territoires, IDETCOM, Toulouse,</w:t>
      </w:r>
      <w:r>
        <w:rPr>
          <w:rFonts w:ascii="Times New Roman" w:eastAsia="Times New Roman" w:hAnsi="Times New Roman" w:cs="Times New Roman"/>
          <w:sz w:val="24"/>
          <w:szCs w:val="24"/>
          <w:lang w:eastAsia="fr-FR"/>
        </w:rPr>
        <w:t xml:space="preserve"> Institut Francophone pour la Justice et la Démocratie, Lextenso/LGDJ, 2020, pp. 93-108.</w:t>
      </w:r>
    </w:p>
    <w:p w:rsidR="00B010F5" w:rsidRDefault="00B010F5" w:rsidP="00B010F5">
      <w:pPr>
        <w:numPr>
          <w:ilvl w:val="0"/>
          <w:numId w:val="11"/>
        </w:numPr>
        <w:spacing w:after="240" w:line="240" w:lineRule="auto"/>
        <w:jc w:val="both"/>
        <w:rPr>
          <w:rStyle w:val="Lienhypertexte"/>
          <w:rFonts w:ascii="Times New Roman" w:eastAsia="Times New Roman" w:hAnsi="Times New Roman" w:cs="Times New Roman"/>
          <w:sz w:val="24"/>
          <w:szCs w:val="24"/>
          <w:lang w:eastAsia="fr-FR"/>
        </w:rPr>
      </w:pPr>
      <w:r w:rsidRPr="00D431C0">
        <w:rPr>
          <w:rFonts w:ascii="Times New Roman" w:eastAsia="Times New Roman" w:hAnsi="Times New Roman" w:cs="Times New Roman"/>
          <w:sz w:val="24"/>
          <w:szCs w:val="24"/>
          <w:lang w:eastAsia="fr-FR"/>
        </w:rPr>
        <w:t>A. HERVE, «</w:t>
      </w:r>
      <w:r>
        <w:rPr>
          <w:rFonts w:ascii="Times New Roman" w:eastAsia="Times New Roman" w:hAnsi="Times New Roman" w:cs="Times New Roman"/>
          <w:sz w:val="24"/>
          <w:szCs w:val="24"/>
          <w:lang w:eastAsia="fr-FR"/>
        </w:rPr>
        <w:t xml:space="preserve"> L’Union européenne et son modèle de régulation des relations commerciales internationales », Fondation R. Schuman, n° 554, </w:t>
      </w:r>
      <w:hyperlink r:id="rId13" w:history="1">
        <w:r w:rsidRPr="00B07B20">
          <w:rPr>
            <w:rStyle w:val="Lienhypertexte"/>
            <w:rFonts w:ascii="Times New Roman" w:eastAsia="Times New Roman" w:hAnsi="Times New Roman" w:cs="Times New Roman"/>
            <w:sz w:val="24"/>
            <w:szCs w:val="24"/>
            <w:lang w:eastAsia="fr-FR"/>
          </w:rPr>
          <w:t>https://www.robert-schuman.eu/fr/questions-d-europe/0554-l-union-europeenne-et-son-modele-de-regulation-des-relations-commerciales-internationales</w:t>
        </w:r>
      </w:hyperlink>
    </w:p>
    <w:p w:rsidR="00B010F5" w:rsidRPr="00F21887" w:rsidRDefault="00B010F5" w:rsidP="00B010F5">
      <w:pPr>
        <w:numPr>
          <w:ilvl w:val="0"/>
          <w:numId w:val="11"/>
        </w:numPr>
        <w:spacing w:after="240" w:line="240" w:lineRule="auto"/>
        <w:jc w:val="both"/>
        <w:rPr>
          <w:rStyle w:val="Lienhypertexte"/>
          <w:rFonts w:ascii="Times New Roman" w:eastAsia="Times New Roman" w:hAnsi="Times New Roman" w:cs="Times New Roman"/>
          <w:sz w:val="24"/>
          <w:szCs w:val="24"/>
          <w:lang w:eastAsia="fr-FR"/>
        </w:rPr>
      </w:pPr>
      <w:r w:rsidRPr="00F21887">
        <w:rPr>
          <w:rStyle w:val="Lienhypertexte"/>
          <w:rFonts w:ascii="Times New Roman" w:eastAsia="Times New Roman" w:hAnsi="Times New Roman" w:cs="Times New Roman"/>
          <w:sz w:val="24"/>
          <w:szCs w:val="24"/>
          <w:lang w:eastAsia="fr-FR"/>
        </w:rPr>
        <w:t xml:space="preserve">« Accord de libre-échange et (extra)territorialité du droit de l’Union », in E. Dubout, F. Martucci et F. Picod, </w:t>
      </w:r>
      <w:r w:rsidRPr="00F21887">
        <w:rPr>
          <w:rStyle w:val="Lienhypertexte"/>
          <w:rFonts w:ascii="Times New Roman" w:eastAsia="Times New Roman" w:hAnsi="Times New Roman" w:cs="Times New Roman"/>
          <w:i/>
          <w:sz w:val="24"/>
          <w:szCs w:val="24"/>
          <w:lang w:eastAsia="fr-FR"/>
        </w:rPr>
        <w:t>L’Extraterritorialité en droit de l’Union européenne</w:t>
      </w:r>
      <w:r w:rsidRPr="00F21887">
        <w:rPr>
          <w:rStyle w:val="Lienhypertexte"/>
          <w:rFonts w:ascii="Times New Roman" w:eastAsia="Times New Roman" w:hAnsi="Times New Roman" w:cs="Times New Roman"/>
          <w:sz w:val="24"/>
          <w:szCs w:val="24"/>
          <w:lang w:eastAsia="fr-FR"/>
        </w:rPr>
        <w:t>, Larcie</w:t>
      </w:r>
      <w:r>
        <w:rPr>
          <w:rStyle w:val="Lienhypertexte"/>
          <w:rFonts w:ascii="Times New Roman" w:eastAsia="Times New Roman" w:hAnsi="Times New Roman" w:cs="Times New Roman"/>
          <w:sz w:val="24"/>
          <w:szCs w:val="24"/>
          <w:lang w:eastAsia="fr-FR"/>
        </w:rPr>
        <w:t xml:space="preserve">r, coll. Droit européen, 2021, </w:t>
      </w:r>
      <w:r w:rsidRPr="00F21887">
        <w:rPr>
          <w:rStyle w:val="Lienhypertexte"/>
          <w:rFonts w:ascii="Times New Roman" w:eastAsia="Times New Roman" w:hAnsi="Times New Roman" w:cs="Times New Roman"/>
          <w:sz w:val="24"/>
          <w:szCs w:val="24"/>
          <w:lang w:eastAsia="fr-FR"/>
        </w:rPr>
        <w:t xml:space="preserve">25 p.  </w:t>
      </w:r>
    </w:p>
    <w:p w:rsidR="00B010F5" w:rsidRPr="00F21887" w:rsidRDefault="00B010F5" w:rsidP="00B010F5">
      <w:pPr>
        <w:numPr>
          <w:ilvl w:val="0"/>
          <w:numId w:val="11"/>
        </w:numPr>
        <w:spacing w:after="240" w:line="240" w:lineRule="auto"/>
        <w:jc w:val="both"/>
        <w:rPr>
          <w:rStyle w:val="Lienhypertexte"/>
          <w:rFonts w:ascii="Times New Roman" w:eastAsia="Times New Roman" w:hAnsi="Times New Roman" w:cs="Times New Roman"/>
          <w:sz w:val="24"/>
          <w:szCs w:val="24"/>
          <w:lang w:eastAsia="fr-FR"/>
        </w:rPr>
      </w:pPr>
      <w:r w:rsidRPr="00F21887">
        <w:rPr>
          <w:rStyle w:val="Lienhypertexte"/>
          <w:rFonts w:ascii="Times New Roman" w:eastAsia="Times New Roman" w:hAnsi="Times New Roman" w:cs="Times New Roman"/>
          <w:sz w:val="24"/>
          <w:szCs w:val="24"/>
          <w:lang w:eastAsia="fr-FR"/>
        </w:rPr>
        <w:t>A. HERVE, « La politique commerciale européenne à l’heure de la Covid-19 : adaptation ou changement de paradigme ? », Fondation Robert Schuman, Policy Paper n° 581, 18 janvier 2021</w:t>
      </w:r>
    </w:p>
    <w:p w:rsidR="00B010F5" w:rsidRDefault="00B010F5" w:rsidP="00B010F5">
      <w:pPr>
        <w:numPr>
          <w:ilvl w:val="0"/>
          <w:numId w:val="11"/>
        </w:numPr>
        <w:spacing w:after="240" w:line="240" w:lineRule="auto"/>
        <w:jc w:val="both"/>
        <w:rPr>
          <w:rStyle w:val="Lienhypertexte"/>
          <w:rFonts w:ascii="Times New Roman" w:eastAsia="Times New Roman" w:hAnsi="Times New Roman" w:cs="Times New Roman"/>
          <w:sz w:val="24"/>
          <w:szCs w:val="24"/>
          <w:lang w:eastAsia="fr-FR"/>
        </w:rPr>
      </w:pPr>
      <w:r w:rsidRPr="00F21887">
        <w:rPr>
          <w:rStyle w:val="Lienhypertexte"/>
          <w:rFonts w:ascii="Times New Roman" w:eastAsia="Times New Roman" w:hAnsi="Times New Roman" w:cs="Times New Roman"/>
          <w:sz w:val="24"/>
          <w:szCs w:val="24"/>
          <w:lang w:eastAsia="fr-FR"/>
        </w:rPr>
        <w:t>A. HERVE, « L’influence des acteurs privés sur les décisions de politique commerciale de l’Union européenne », in Acte du colloque, Méthodes et stratégies dans l’Union européenne, B. Bertrand et L. Clément Wiltz, PUR, coll. Droit européen, 2021, 16 p.</w:t>
      </w:r>
    </w:p>
    <w:p w:rsidR="00B010F5" w:rsidRPr="00F21887" w:rsidRDefault="00B010F5" w:rsidP="00B010F5">
      <w:pPr>
        <w:numPr>
          <w:ilvl w:val="0"/>
          <w:numId w:val="11"/>
        </w:numPr>
        <w:spacing w:after="240" w:line="240" w:lineRule="auto"/>
        <w:jc w:val="both"/>
        <w:rPr>
          <w:rStyle w:val="Lienhypertexte"/>
          <w:rFonts w:ascii="Times New Roman" w:eastAsia="Times New Roman" w:hAnsi="Times New Roman" w:cs="Times New Roman"/>
          <w:sz w:val="24"/>
          <w:szCs w:val="24"/>
          <w:lang w:eastAsia="fr-FR"/>
        </w:rPr>
      </w:pPr>
      <w:r w:rsidRPr="006B0FB3">
        <w:rPr>
          <w:rStyle w:val="Lienhypertexte"/>
          <w:rFonts w:ascii="Times New Roman" w:eastAsia="Times New Roman" w:hAnsi="Times New Roman" w:cs="Times New Roman"/>
          <w:sz w:val="24"/>
          <w:szCs w:val="24"/>
          <w:lang w:eastAsia="fr-FR"/>
        </w:rPr>
        <w:t xml:space="preserve">A. HERVE, </w:t>
      </w:r>
      <w:r w:rsidRPr="00F21887">
        <w:rPr>
          <w:rStyle w:val="Lienhypertexte"/>
          <w:rFonts w:ascii="Times New Roman" w:eastAsia="Times New Roman" w:hAnsi="Times New Roman" w:cs="Times New Roman"/>
          <w:sz w:val="24"/>
          <w:szCs w:val="24"/>
          <w:lang w:eastAsia="fr-FR"/>
        </w:rPr>
        <w:t xml:space="preserve">  </w:t>
      </w:r>
      <w:r w:rsidRPr="006B0FB3">
        <w:rPr>
          <w:rStyle w:val="Lienhypertexte"/>
          <w:rFonts w:ascii="Times New Roman" w:eastAsia="Times New Roman" w:hAnsi="Times New Roman" w:cs="Times New Roman"/>
          <w:sz w:val="24"/>
          <w:szCs w:val="24"/>
          <w:lang w:eastAsia="fr-FR"/>
        </w:rPr>
        <w:t>« Accord de partenariat régional économique global (RCEP) » in Chronique des faits internationaux (dir. T. Fleury-Graff, RGDIP, 2021/1, pp. 50-53.</w:t>
      </w:r>
    </w:p>
    <w:p w:rsidR="00B010F5" w:rsidRPr="00B453E2"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F21887">
        <w:rPr>
          <w:rFonts w:ascii="Times New Roman" w:eastAsia="Times New Roman" w:hAnsi="Times New Roman" w:cs="Times New Roman"/>
          <w:sz w:val="24"/>
          <w:szCs w:val="24"/>
          <w:lang w:val="en-GB" w:eastAsia="fr-FR"/>
        </w:rPr>
        <w:t>A. HERVE, “</w:t>
      </w:r>
      <w:hyperlink r:id="rId14" w:history="1">
        <w:r w:rsidRPr="009337C9">
          <w:rPr>
            <w:rStyle w:val="Lienhypertexte"/>
            <w:rFonts w:ascii="Times New Roman" w:eastAsia="Times New Roman" w:hAnsi="Times New Roman" w:cs="Times New Roman"/>
            <w:sz w:val="24"/>
            <w:szCs w:val="24"/>
            <w:lang w:val="en-GB" w:eastAsia="fr-FR"/>
          </w:rPr>
          <w:t>Data Protection and Artificial Intelligence: the European Union’s Internal Approach and its possible Promotion through Trade Agreements</w:t>
        </w:r>
      </w:hyperlink>
      <w:r w:rsidRPr="00F21887">
        <w:rPr>
          <w:rFonts w:ascii="Times New Roman" w:eastAsia="Times New Roman" w:hAnsi="Times New Roman" w:cs="Times New Roman"/>
          <w:sz w:val="24"/>
          <w:szCs w:val="24"/>
          <w:lang w:val="en-GB" w:eastAsia="fr-FR"/>
        </w:rPr>
        <w:t>” in Artificial Intelligence and International Economic Law Shin-Yi Peng, Ching-Fu Lin, Th. Streinz (dir.), Cambridge University Press, été 2021, 19 p.</w:t>
      </w:r>
    </w:p>
    <w:p w:rsidR="00B010F5" w:rsidRPr="00B453E2" w:rsidRDefault="00B010F5" w:rsidP="00B010F5">
      <w:pPr>
        <w:pStyle w:val="Paragraphedeliste"/>
        <w:numPr>
          <w:ilvl w:val="0"/>
          <w:numId w:val="11"/>
        </w:numPr>
        <w:spacing w:after="240" w:line="240" w:lineRule="auto"/>
        <w:jc w:val="both"/>
        <w:rPr>
          <w:rFonts w:ascii="Times New Roman" w:eastAsia="Times New Roman" w:hAnsi="Times New Roman" w:cs="Times New Roman"/>
          <w:sz w:val="24"/>
          <w:szCs w:val="24"/>
          <w:lang w:eastAsia="fr-FR"/>
        </w:rPr>
      </w:pPr>
      <w:r w:rsidRPr="00B453E2">
        <w:rPr>
          <w:rFonts w:ascii="Times New Roman" w:eastAsia="Times New Roman" w:hAnsi="Times New Roman" w:cs="Times New Roman"/>
          <w:sz w:val="24"/>
          <w:szCs w:val="24"/>
          <w:lang w:eastAsia="fr-FR"/>
        </w:rPr>
        <w:t xml:space="preserve">Alan </w:t>
      </w:r>
      <w:r w:rsidRPr="00B453E2">
        <w:rPr>
          <w:rFonts w:ascii="Times New Roman" w:eastAsia="Times New Roman" w:hAnsi="Times New Roman" w:cs="Times New Roman"/>
          <w:caps/>
          <w:sz w:val="24"/>
          <w:szCs w:val="24"/>
          <w:lang w:eastAsia="fr-FR"/>
        </w:rPr>
        <w:t>Hervé</w:t>
      </w:r>
      <w:r w:rsidRPr="00B453E2">
        <w:rPr>
          <w:rFonts w:ascii="Times New Roman" w:eastAsia="Times New Roman" w:hAnsi="Times New Roman" w:cs="Times New Roman"/>
          <w:sz w:val="24"/>
          <w:szCs w:val="24"/>
          <w:lang w:eastAsia="fr-FR"/>
        </w:rPr>
        <w:t>, « Accord de libre-échange de l’Union européenne », Fascicule jurisclasseur Europe n° 2360</w:t>
      </w:r>
      <w:r>
        <w:rPr>
          <w:rFonts w:ascii="Times New Roman" w:eastAsia="Times New Roman" w:hAnsi="Times New Roman" w:cs="Times New Roman"/>
          <w:sz w:val="24"/>
          <w:szCs w:val="24"/>
          <w:lang w:eastAsia="fr-FR"/>
        </w:rPr>
        <w:t>, sept. 2022</w:t>
      </w:r>
    </w:p>
    <w:p w:rsidR="00B010F5" w:rsidRPr="00975A7D" w:rsidRDefault="00B010F5" w:rsidP="00B010F5">
      <w:pPr>
        <w:numPr>
          <w:ilvl w:val="0"/>
          <w:numId w:val="11"/>
        </w:numPr>
        <w:spacing w:after="240" w:line="240" w:lineRule="auto"/>
        <w:jc w:val="both"/>
        <w:rPr>
          <w:rFonts w:ascii="Times New Roman" w:eastAsia="Times New Roman" w:hAnsi="Times New Roman" w:cs="Times New Roman"/>
          <w:sz w:val="24"/>
          <w:szCs w:val="24"/>
          <w:lang w:eastAsia="fr-FR"/>
        </w:rPr>
      </w:pPr>
      <w:r w:rsidRPr="00975A7D">
        <w:rPr>
          <w:rFonts w:ascii="Times New Roman" w:eastAsia="Times New Roman" w:hAnsi="Times New Roman" w:cs="Times New Roman"/>
          <w:sz w:val="24"/>
          <w:szCs w:val="24"/>
          <w:lang w:eastAsia="fr-FR"/>
        </w:rPr>
        <w:t xml:space="preserve">A. HERVE, notules parues dans la chronique semestrielle de la RTDE, </w:t>
      </w:r>
      <w:r w:rsidRPr="00975A7D">
        <w:rPr>
          <w:rFonts w:ascii="Times New Roman" w:eastAsia="SimSun" w:hAnsi="Times New Roman" w:cs="Times New Roman"/>
          <w:sz w:val="24"/>
          <w:szCs w:val="24"/>
          <w:lang w:eastAsia="zh-CN"/>
        </w:rPr>
        <w:t>« Action extérieure de l</w:t>
      </w:r>
      <w:r>
        <w:rPr>
          <w:rFonts w:ascii="Times New Roman" w:eastAsia="SimSun" w:hAnsi="Times New Roman" w:cs="Times New Roman"/>
          <w:sz w:val="24"/>
          <w:szCs w:val="24"/>
          <w:lang w:eastAsia="zh-CN"/>
        </w:rPr>
        <w:t>’</w:t>
      </w:r>
      <w:r w:rsidRPr="00975A7D">
        <w:rPr>
          <w:rFonts w:ascii="Times New Roman" w:eastAsia="SimSun" w:hAnsi="Times New Roman" w:cs="Times New Roman"/>
          <w:sz w:val="24"/>
          <w:szCs w:val="24"/>
          <w:lang w:eastAsia="zh-CN"/>
        </w:rPr>
        <w:t>Union européenne »</w:t>
      </w:r>
      <w:r w:rsidRPr="00975A7D">
        <w:rPr>
          <w:rFonts w:ascii="Times New Roman" w:eastAsia="SimSun" w:hAnsi="Times New Roman" w:cs="Times New Roman"/>
          <w:b/>
          <w:sz w:val="24"/>
          <w:szCs w:val="24"/>
          <w:lang w:eastAsia="zh-CN"/>
        </w:rPr>
        <w:t xml:space="preserve"> </w:t>
      </w:r>
    </w:p>
    <w:p w:rsidR="00916094" w:rsidRPr="00916094" w:rsidRDefault="00916094" w:rsidP="00916094">
      <w:pPr>
        <w:numPr>
          <w:ilvl w:val="0"/>
          <w:numId w:val="2"/>
        </w:numPr>
        <w:spacing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w:t>
      </w:r>
      <w:r w:rsidRPr="00916094">
        <w:rPr>
          <w:rFonts w:ascii="Times New Roman" w:eastAsia="Times New Roman" w:hAnsi="Times New Roman" w:cs="Times New Roman"/>
          <w:sz w:val="24"/>
          <w:szCs w:val="24"/>
          <w:lang w:eastAsia="fr-FR"/>
        </w:rPr>
        <w:t>L’instrument relatif aux marchés publics internationaux, illustration du néo-unilatéralisme européen au nom de la loyauté des échanges, RTDeur., n° 2022, p. 535</w:t>
      </w:r>
      <w:r>
        <w:rPr>
          <w:rFonts w:ascii="Times New Roman" w:eastAsia="Times New Roman" w:hAnsi="Times New Roman" w:cs="Times New Roman"/>
          <w:sz w:val="24"/>
          <w:szCs w:val="24"/>
          <w:lang w:eastAsia="fr-FR"/>
        </w:rPr>
        <w:t> »</w:t>
      </w:r>
    </w:p>
    <w:p w:rsidR="00916094" w:rsidRDefault="00916094" w:rsidP="00916094">
      <w:pPr>
        <w:numPr>
          <w:ilvl w:val="0"/>
          <w:numId w:val="2"/>
        </w:numPr>
        <w:spacing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w:t>
      </w:r>
      <w:r w:rsidRPr="00916094">
        <w:rPr>
          <w:rFonts w:ascii="Times New Roman" w:eastAsia="Times New Roman" w:hAnsi="Times New Roman" w:cs="Times New Roman"/>
          <w:sz w:val="24"/>
          <w:szCs w:val="24"/>
          <w:lang w:eastAsia="fr-FR"/>
        </w:rPr>
        <w:t>Les entreprises européennes entre le marteau et l’enclume. Première application contentieuse du règlement de blocage devant la CJUE, RTDeur., n° 3, 2022, p. 537</w:t>
      </w:r>
      <w:r>
        <w:rPr>
          <w:rFonts w:ascii="Times New Roman" w:eastAsia="Times New Roman" w:hAnsi="Times New Roman" w:cs="Times New Roman"/>
          <w:sz w:val="24"/>
          <w:szCs w:val="24"/>
          <w:lang w:eastAsia="fr-FR"/>
        </w:rPr>
        <w:t> »</w:t>
      </w:r>
      <w:r w:rsidRPr="00916094">
        <w:rPr>
          <w:rFonts w:ascii="Times New Roman" w:eastAsia="Times New Roman" w:hAnsi="Times New Roman" w:cs="Times New Roman"/>
          <w:sz w:val="24"/>
          <w:szCs w:val="24"/>
          <w:lang w:eastAsia="fr-FR"/>
        </w:rPr>
        <w:t xml:space="preserve"> </w:t>
      </w:r>
    </w:p>
    <w:p w:rsidR="00B010F5" w:rsidRPr="00706412" w:rsidRDefault="00B010F5" w:rsidP="00916094">
      <w:pPr>
        <w:numPr>
          <w:ilvl w:val="0"/>
          <w:numId w:val="2"/>
        </w:numPr>
        <w:spacing w:after="240" w:line="240" w:lineRule="auto"/>
        <w:jc w:val="both"/>
        <w:rPr>
          <w:rFonts w:ascii="Times New Roman" w:eastAsia="Times New Roman" w:hAnsi="Times New Roman" w:cs="Times New Roman"/>
          <w:sz w:val="24"/>
          <w:szCs w:val="24"/>
          <w:lang w:eastAsia="fr-FR"/>
        </w:rPr>
      </w:pPr>
      <w:r w:rsidRPr="00706412">
        <w:rPr>
          <w:rFonts w:ascii="Times New Roman" w:eastAsia="Times New Roman" w:hAnsi="Times New Roman" w:cs="Times New Roman"/>
          <w:sz w:val="24"/>
          <w:szCs w:val="24"/>
          <w:lang w:eastAsia="fr-FR"/>
        </w:rPr>
        <w:t xml:space="preserve">« L’accord de commerce et de coopération entre l'Union européenne et le Royaume-Uni : les singularités d'un accord externe inédit » (chronique collective, développements sur le commerce et les procédures de règlement des différends), </w:t>
      </w:r>
      <w:r w:rsidRPr="009337C9">
        <w:rPr>
          <w:rFonts w:ascii="Times New Roman" w:eastAsia="Times New Roman" w:hAnsi="Times New Roman" w:cs="Times New Roman"/>
          <w:i/>
          <w:sz w:val="24"/>
          <w:szCs w:val="24"/>
          <w:lang w:eastAsia="fr-FR"/>
        </w:rPr>
        <w:t>RTDeur</w:t>
      </w:r>
      <w:r w:rsidRPr="00706412">
        <w:rPr>
          <w:rFonts w:ascii="Times New Roman" w:eastAsia="Times New Roman" w:hAnsi="Times New Roman" w:cs="Times New Roman"/>
          <w:sz w:val="24"/>
          <w:szCs w:val="24"/>
          <w:lang w:eastAsia="fr-FR"/>
        </w:rPr>
        <w:t xml:space="preserve">. n° 3, 2021, 26 p. </w:t>
      </w:r>
    </w:p>
    <w:p w:rsidR="00B010F5" w:rsidRPr="0070641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706412">
        <w:rPr>
          <w:rFonts w:ascii="Times New Roman" w:eastAsia="Times New Roman" w:hAnsi="Times New Roman" w:cs="Times New Roman"/>
          <w:sz w:val="24"/>
          <w:szCs w:val="24"/>
          <w:lang w:eastAsia="fr-FR"/>
        </w:rPr>
        <w:t xml:space="preserve">« La politique internationale s’invite à la table et gâche le menu des relations commerciales sino-européennes », </w:t>
      </w:r>
      <w:r w:rsidRPr="009337C9">
        <w:rPr>
          <w:rFonts w:ascii="Times New Roman" w:eastAsia="Times New Roman" w:hAnsi="Times New Roman" w:cs="Times New Roman"/>
          <w:i/>
          <w:sz w:val="24"/>
          <w:szCs w:val="24"/>
          <w:lang w:eastAsia="fr-FR"/>
        </w:rPr>
        <w:t>RTDeur</w:t>
      </w:r>
      <w:r w:rsidRPr="00706412">
        <w:rPr>
          <w:rFonts w:ascii="Times New Roman" w:eastAsia="Times New Roman" w:hAnsi="Times New Roman" w:cs="Times New Roman"/>
          <w:sz w:val="24"/>
          <w:szCs w:val="24"/>
          <w:lang w:eastAsia="fr-FR"/>
        </w:rPr>
        <w:t xml:space="preserve">. n° 3, 2021, 3 p. </w:t>
      </w:r>
    </w:p>
    <w:p w:rsidR="00B010F5" w:rsidRPr="0070641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706412">
        <w:rPr>
          <w:rFonts w:ascii="Times New Roman" w:eastAsia="Times New Roman" w:hAnsi="Times New Roman" w:cs="Times New Roman"/>
          <w:sz w:val="24"/>
          <w:szCs w:val="24"/>
          <w:lang w:eastAsia="fr-FR"/>
        </w:rPr>
        <w:t xml:space="preserve">« Évolution ou révolution ? Quand la Commission européenne repense la politique commerciale face aux bouleversements du monde », </w:t>
      </w:r>
      <w:r w:rsidRPr="009337C9">
        <w:rPr>
          <w:rFonts w:ascii="Times New Roman" w:eastAsia="Times New Roman" w:hAnsi="Times New Roman" w:cs="Times New Roman"/>
          <w:i/>
          <w:sz w:val="24"/>
          <w:szCs w:val="24"/>
          <w:lang w:eastAsia="fr-FR"/>
        </w:rPr>
        <w:t>RTDeur</w:t>
      </w:r>
      <w:r w:rsidRPr="00706412">
        <w:rPr>
          <w:rFonts w:ascii="Times New Roman" w:eastAsia="Times New Roman" w:hAnsi="Times New Roman" w:cs="Times New Roman"/>
          <w:sz w:val="24"/>
          <w:szCs w:val="24"/>
          <w:lang w:eastAsia="fr-FR"/>
        </w:rPr>
        <w:t>. n° 3, 2021, 5 p.</w:t>
      </w:r>
    </w:p>
    <w:p w:rsidR="00B010F5" w:rsidRPr="0070641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706412">
        <w:rPr>
          <w:rFonts w:ascii="Times New Roman" w:eastAsia="Times New Roman" w:hAnsi="Times New Roman" w:cs="Times New Roman"/>
          <w:sz w:val="24"/>
          <w:szCs w:val="24"/>
          <w:lang w:eastAsia="fr-FR"/>
        </w:rPr>
        <w:t xml:space="preserve">« Mieux vaut de bons procès que de mauvais arrangements, ou comment l’UE promeut la juridictionnalisation des différends de commerce et d’investissement internationaux », </w:t>
      </w:r>
      <w:r w:rsidRPr="009337C9">
        <w:rPr>
          <w:rFonts w:ascii="Times New Roman" w:eastAsia="Times New Roman" w:hAnsi="Times New Roman" w:cs="Times New Roman"/>
          <w:i/>
          <w:sz w:val="24"/>
          <w:szCs w:val="24"/>
          <w:lang w:eastAsia="fr-FR"/>
        </w:rPr>
        <w:t>RTDeur</w:t>
      </w:r>
      <w:r w:rsidRPr="00706412">
        <w:rPr>
          <w:rFonts w:ascii="Times New Roman" w:eastAsia="Times New Roman" w:hAnsi="Times New Roman" w:cs="Times New Roman"/>
          <w:sz w:val="24"/>
          <w:szCs w:val="24"/>
          <w:lang w:eastAsia="fr-FR"/>
        </w:rPr>
        <w:t>. n° 3, 2020, p. 712</w:t>
      </w:r>
    </w:p>
    <w:p w:rsidR="00B010F5"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706412">
        <w:rPr>
          <w:rFonts w:ascii="Times New Roman" w:eastAsia="Times New Roman" w:hAnsi="Times New Roman" w:cs="Times New Roman"/>
          <w:sz w:val="24"/>
          <w:szCs w:val="24"/>
          <w:lang w:eastAsia="fr-FR"/>
        </w:rPr>
        <w:t xml:space="preserve">« Que nous enseignent les premières mesures de politique commerciale liées à la crise du coronavirus ? », </w:t>
      </w:r>
      <w:r w:rsidRPr="009337C9">
        <w:rPr>
          <w:rFonts w:ascii="Times New Roman" w:eastAsia="Times New Roman" w:hAnsi="Times New Roman" w:cs="Times New Roman"/>
          <w:i/>
          <w:sz w:val="24"/>
          <w:szCs w:val="24"/>
          <w:lang w:eastAsia="fr-FR"/>
        </w:rPr>
        <w:t>RTDeur</w:t>
      </w:r>
      <w:r w:rsidRPr="00706412">
        <w:rPr>
          <w:rFonts w:ascii="Times New Roman" w:eastAsia="Times New Roman" w:hAnsi="Times New Roman" w:cs="Times New Roman"/>
          <w:sz w:val="24"/>
          <w:szCs w:val="24"/>
          <w:lang w:eastAsia="fr-FR"/>
        </w:rPr>
        <w:t>. n° 3, 2020, p. 709</w:t>
      </w:r>
    </w:p>
    <w:p w:rsidR="00B010F5" w:rsidRPr="00F51D68"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F51D68">
        <w:rPr>
          <w:rFonts w:ascii="Times New Roman" w:eastAsia="Times New Roman" w:hAnsi="Times New Roman" w:cs="Times New Roman"/>
          <w:sz w:val="24"/>
          <w:szCs w:val="24"/>
          <w:lang w:eastAsia="fr-FR"/>
        </w:rPr>
        <w:t>« Mise en place d</w:t>
      </w:r>
      <w:r>
        <w:rPr>
          <w:rFonts w:ascii="Times New Roman" w:eastAsia="Times New Roman" w:hAnsi="Times New Roman" w:cs="Times New Roman"/>
          <w:sz w:val="24"/>
          <w:szCs w:val="24"/>
          <w:lang w:eastAsia="fr-FR"/>
        </w:rPr>
        <w:t>’</w:t>
      </w:r>
      <w:r w:rsidRPr="00F51D68">
        <w:rPr>
          <w:rFonts w:ascii="Times New Roman" w:eastAsia="Times New Roman" w:hAnsi="Times New Roman" w:cs="Times New Roman"/>
          <w:sz w:val="24"/>
          <w:szCs w:val="24"/>
          <w:lang w:eastAsia="fr-FR"/>
        </w:rPr>
        <w:t>un mécanisme de filtrage des investissements : quand l</w:t>
      </w:r>
      <w:r>
        <w:rPr>
          <w:rFonts w:ascii="Times New Roman" w:eastAsia="Times New Roman" w:hAnsi="Times New Roman" w:cs="Times New Roman"/>
          <w:sz w:val="24"/>
          <w:szCs w:val="24"/>
          <w:lang w:eastAsia="fr-FR"/>
        </w:rPr>
        <w:t>’</w:t>
      </w:r>
      <w:r w:rsidRPr="00F51D68">
        <w:rPr>
          <w:rFonts w:ascii="Times New Roman" w:eastAsia="Times New Roman" w:hAnsi="Times New Roman" w:cs="Times New Roman"/>
          <w:sz w:val="24"/>
          <w:szCs w:val="24"/>
          <w:lang w:eastAsia="fr-FR"/>
        </w:rPr>
        <w:t xml:space="preserve">Union européenne montre ses dents...de lait », </w:t>
      </w:r>
      <w:r w:rsidRPr="009337C9">
        <w:rPr>
          <w:rFonts w:ascii="Times New Roman" w:eastAsia="Times New Roman" w:hAnsi="Times New Roman" w:cs="Times New Roman"/>
          <w:i/>
          <w:sz w:val="24"/>
          <w:szCs w:val="24"/>
          <w:lang w:eastAsia="fr-FR"/>
        </w:rPr>
        <w:t>RTD eur.</w:t>
      </w:r>
      <w:r w:rsidRPr="00F51D68">
        <w:rPr>
          <w:rFonts w:ascii="Times New Roman" w:eastAsia="Times New Roman" w:hAnsi="Times New Roman" w:cs="Times New Roman"/>
          <w:sz w:val="24"/>
          <w:szCs w:val="24"/>
          <w:lang w:eastAsia="fr-FR"/>
        </w:rPr>
        <w:t>, 2019, pp. 749-751</w:t>
      </w:r>
    </w:p>
    <w:p w:rsidR="00B010F5" w:rsidRPr="00F51D68"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F51D68">
        <w:rPr>
          <w:rFonts w:ascii="Times New Roman" w:eastAsia="Times New Roman" w:hAnsi="Times New Roman" w:cs="Times New Roman"/>
          <w:sz w:val="24"/>
          <w:szCs w:val="24"/>
          <w:lang w:eastAsia="fr-FR"/>
        </w:rPr>
        <w:t>« L</w:t>
      </w:r>
      <w:r>
        <w:rPr>
          <w:rFonts w:ascii="Times New Roman" w:eastAsia="Times New Roman" w:hAnsi="Times New Roman" w:cs="Times New Roman"/>
          <w:sz w:val="24"/>
          <w:szCs w:val="24"/>
          <w:lang w:eastAsia="fr-FR"/>
        </w:rPr>
        <w:t>’</w:t>
      </w:r>
      <w:r w:rsidRPr="00F51D68">
        <w:rPr>
          <w:rFonts w:ascii="Times New Roman" w:eastAsia="Times New Roman" w:hAnsi="Times New Roman" w:cs="Times New Roman"/>
          <w:sz w:val="24"/>
          <w:szCs w:val="24"/>
          <w:lang w:eastAsia="fr-FR"/>
        </w:rPr>
        <w:t xml:space="preserve">Union confrontée à la législation extraterritoriale américaine. Une réponse symbolique mais toujours aussi peu efficace », </w:t>
      </w:r>
      <w:r w:rsidRPr="009337C9">
        <w:rPr>
          <w:rFonts w:ascii="Times New Roman" w:eastAsia="Times New Roman" w:hAnsi="Times New Roman" w:cs="Times New Roman"/>
          <w:i/>
          <w:sz w:val="24"/>
          <w:szCs w:val="24"/>
          <w:lang w:eastAsia="fr-FR"/>
        </w:rPr>
        <w:t>RTD eur.</w:t>
      </w:r>
      <w:r w:rsidRPr="00F51D68">
        <w:rPr>
          <w:rFonts w:ascii="Times New Roman" w:eastAsia="Times New Roman" w:hAnsi="Times New Roman" w:cs="Times New Roman"/>
          <w:sz w:val="24"/>
          <w:szCs w:val="24"/>
          <w:lang w:eastAsia="fr-FR"/>
        </w:rPr>
        <w:t>, 2019, pp. 143-145</w:t>
      </w:r>
    </w:p>
    <w:p w:rsidR="00B010F5" w:rsidRPr="00F51D68"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F51D68">
        <w:rPr>
          <w:rFonts w:ascii="Times New Roman" w:eastAsia="Times New Roman" w:hAnsi="Times New Roman" w:cs="Times New Roman"/>
          <w:sz w:val="24"/>
          <w:szCs w:val="24"/>
          <w:lang w:eastAsia="fr-FR"/>
        </w:rPr>
        <w:t>« Signature de nouveaux accords commerciaux avec Singapour et le Japon : l</w:t>
      </w:r>
      <w:r>
        <w:rPr>
          <w:rFonts w:ascii="Times New Roman" w:eastAsia="Times New Roman" w:hAnsi="Times New Roman" w:cs="Times New Roman"/>
          <w:sz w:val="24"/>
          <w:szCs w:val="24"/>
          <w:lang w:eastAsia="fr-FR"/>
        </w:rPr>
        <w:t>’</w:t>
      </w:r>
      <w:r w:rsidRPr="00F51D68">
        <w:rPr>
          <w:rFonts w:ascii="Times New Roman" w:eastAsia="Times New Roman" w:hAnsi="Times New Roman" w:cs="Times New Roman"/>
          <w:sz w:val="24"/>
          <w:szCs w:val="24"/>
          <w:lang w:eastAsia="fr-FR"/>
        </w:rPr>
        <w:t xml:space="preserve">Union européenne poursuit sa politique conventionnelle du libre-échange en dépit des contraintes institutionnelles », </w:t>
      </w:r>
      <w:r w:rsidRPr="009337C9">
        <w:rPr>
          <w:rFonts w:ascii="Times New Roman" w:eastAsia="Times New Roman" w:hAnsi="Times New Roman" w:cs="Times New Roman"/>
          <w:i/>
          <w:sz w:val="24"/>
          <w:szCs w:val="24"/>
          <w:lang w:eastAsia="fr-FR"/>
        </w:rPr>
        <w:t>RTDeur.</w:t>
      </w:r>
      <w:r w:rsidRPr="00F51D68">
        <w:rPr>
          <w:rFonts w:ascii="Times New Roman" w:eastAsia="Times New Roman" w:hAnsi="Times New Roman" w:cs="Times New Roman"/>
          <w:sz w:val="24"/>
          <w:szCs w:val="24"/>
          <w:lang w:eastAsia="fr-FR"/>
        </w:rPr>
        <w:t>, 2019, p. 141-142</w:t>
      </w:r>
    </w:p>
    <w:p w:rsidR="00B010F5"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F51D68">
        <w:rPr>
          <w:rFonts w:ascii="Times New Roman" w:eastAsia="Times New Roman" w:hAnsi="Times New Roman" w:cs="Times New Roman"/>
          <w:sz w:val="24"/>
          <w:szCs w:val="24"/>
          <w:lang w:eastAsia="fr-FR"/>
        </w:rPr>
        <w:t>« L</w:t>
      </w:r>
      <w:r>
        <w:rPr>
          <w:rFonts w:ascii="Times New Roman" w:eastAsia="Times New Roman" w:hAnsi="Times New Roman" w:cs="Times New Roman"/>
          <w:sz w:val="24"/>
          <w:szCs w:val="24"/>
          <w:lang w:eastAsia="fr-FR"/>
        </w:rPr>
        <w:t>’</w:t>
      </w:r>
      <w:r w:rsidRPr="00F51D68">
        <w:rPr>
          <w:rFonts w:ascii="Times New Roman" w:eastAsia="Times New Roman" w:hAnsi="Times New Roman" w:cs="Times New Roman"/>
          <w:sz w:val="24"/>
          <w:szCs w:val="24"/>
          <w:lang w:eastAsia="fr-FR"/>
        </w:rPr>
        <w:t>Union européenne au chevet de l</w:t>
      </w:r>
      <w:r>
        <w:rPr>
          <w:rFonts w:ascii="Times New Roman" w:eastAsia="Times New Roman" w:hAnsi="Times New Roman" w:cs="Times New Roman"/>
          <w:sz w:val="24"/>
          <w:szCs w:val="24"/>
          <w:lang w:eastAsia="fr-FR"/>
        </w:rPr>
        <w:t>’</w:t>
      </w:r>
      <w:r w:rsidRPr="00F51D68">
        <w:rPr>
          <w:rFonts w:ascii="Times New Roman" w:eastAsia="Times New Roman" w:hAnsi="Times New Roman" w:cs="Times New Roman"/>
          <w:sz w:val="24"/>
          <w:szCs w:val="24"/>
          <w:lang w:eastAsia="fr-FR"/>
        </w:rPr>
        <w:t>Organisation mondiale du commerce (OMC) », RTDeur., 2019, p. 129-131</w:t>
      </w:r>
    </w:p>
    <w:p w:rsidR="00B010F5" w:rsidRPr="00975A7D"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975A7D">
        <w:rPr>
          <w:rFonts w:ascii="Times New Roman" w:eastAsia="Times New Roman" w:hAnsi="Times New Roman" w:cs="Times New Roman"/>
          <w:sz w:val="24"/>
          <w:szCs w:val="24"/>
          <w:lang w:eastAsia="fr-FR"/>
        </w:rPr>
        <w:t>L</w:t>
      </w:r>
      <w:r>
        <w:rPr>
          <w:rFonts w:ascii="Times New Roman" w:eastAsia="Times New Roman" w:hAnsi="Times New Roman" w:cs="Times New Roman"/>
          <w:sz w:val="24"/>
          <w:szCs w:val="24"/>
          <w:lang w:eastAsia="fr-FR"/>
        </w:rPr>
        <w:t>’</w:t>
      </w:r>
      <w:r w:rsidRPr="00975A7D">
        <w:rPr>
          <w:rFonts w:ascii="Times New Roman" w:eastAsia="Times New Roman" w:hAnsi="Times New Roman" w:cs="Times New Roman"/>
          <w:sz w:val="24"/>
          <w:szCs w:val="24"/>
          <w:lang w:eastAsia="fr-FR"/>
        </w:rPr>
        <w:t>Union contre-attaque - première analyse des contre-mesures européennes aux mesures tarifaires américaines sur l</w:t>
      </w:r>
      <w:r>
        <w:rPr>
          <w:rFonts w:ascii="Times New Roman" w:eastAsia="Times New Roman" w:hAnsi="Times New Roman" w:cs="Times New Roman"/>
          <w:sz w:val="24"/>
          <w:szCs w:val="24"/>
          <w:lang w:eastAsia="fr-FR"/>
        </w:rPr>
        <w:t>’</w:t>
      </w:r>
      <w:r w:rsidRPr="00975A7D">
        <w:rPr>
          <w:rFonts w:ascii="Times New Roman" w:eastAsia="Times New Roman" w:hAnsi="Times New Roman" w:cs="Times New Roman"/>
          <w:sz w:val="24"/>
          <w:szCs w:val="24"/>
          <w:lang w:eastAsia="fr-FR"/>
        </w:rPr>
        <w:t>acier et l</w:t>
      </w:r>
      <w:r>
        <w:rPr>
          <w:rFonts w:ascii="Times New Roman" w:eastAsia="Times New Roman" w:hAnsi="Times New Roman" w:cs="Times New Roman"/>
          <w:sz w:val="24"/>
          <w:szCs w:val="24"/>
          <w:lang w:eastAsia="fr-FR"/>
        </w:rPr>
        <w:t>’</w:t>
      </w:r>
      <w:r w:rsidRPr="00975A7D">
        <w:rPr>
          <w:rFonts w:ascii="Times New Roman" w:eastAsia="Times New Roman" w:hAnsi="Times New Roman" w:cs="Times New Roman"/>
          <w:sz w:val="24"/>
          <w:szCs w:val="24"/>
          <w:lang w:eastAsia="fr-FR"/>
        </w:rPr>
        <w:t>aluminium, RTD eur., 2018, pp. 653-657</w:t>
      </w:r>
    </w:p>
    <w:p w:rsidR="00B010F5" w:rsidRPr="00AB58DC"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AB58DC">
        <w:rPr>
          <w:rFonts w:ascii="Times New Roman" w:eastAsia="Times New Roman" w:hAnsi="Times New Roman" w:cs="Times New Roman"/>
          <w:sz w:val="24"/>
          <w:szCs w:val="24"/>
          <w:lang w:eastAsia="fr-FR"/>
        </w:rPr>
        <w:t>Coup de tonnerre sur le droit des investissements étrangers, en attendant le séisme ?</w:t>
      </w:r>
      <w:r w:rsidRPr="00AB58DC">
        <w:t xml:space="preserve"> </w:t>
      </w:r>
      <w:r w:rsidRPr="00AB58DC">
        <w:rPr>
          <w:rFonts w:ascii="Times New Roman" w:eastAsia="Times New Roman" w:hAnsi="Times New Roman" w:cs="Times New Roman"/>
          <w:sz w:val="24"/>
          <w:szCs w:val="24"/>
          <w:lang w:eastAsia="fr-FR"/>
        </w:rPr>
        <w:t>RTD eur., 2017, n° 1</w:t>
      </w:r>
      <w:r>
        <w:rPr>
          <w:rFonts w:ascii="Times New Roman" w:eastAsia="Times New Roman" w:hAnsi="Times New Roman" w:cs="Times New Roman"/>
          <w:sz w:val="24"/>
          <w:szCs w:val="24"/>
          <w:lang w:eastAsia="fr-FR"/>
        </w:rPr>
        <w:t xml:space="preserve">    </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 xml:space="preserve">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accord économique et commercial global (AECG/CETA) entre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Union européenne et le Canada – Tentative de rénovation de la modélisation conventionnelle du libre-échange à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 xml:space="preserve">issue incertaine », </w:t>
      </w:r>
      <w:r w:rsidRPr="00C37C72">
        <w:rPr>
          <w:rFonts w:ascii="Times New Roman" w:eastAsia="Times New Roman" w:hAnsi="Times New Roman" w:cs="Times New Roman"/>
          <w:bCs/>
          <w:i/>
          <w:sz w:val="24"/>
          <w:szCs w:val="24"/>
          <w:lang w:eastAsia="fr-FR"/>
        </w:rPr>
        <w:t>RTD eur.</w:t>
      </w:r>
      <w:r w:rsidRPr="00C37C72">
        <w:rPr>
          <w:rFonts w:ascii="Times New Roman" w:eastAsia="SimSun" w:hAnsi="Times New Roman" w:cs="Times New Roman"/>
          <w:sz w:val="24"/>
          <w:szCs w:val="24"/>
          <w:lang w:eastAsia="zh-CN"/>
        </w:rPr>
        <w:t>, 2017, n° 1.</w:t>
      </w:r>
      <w:r w:rsidRPr="00C37C72">
        <w:rPr>
          <w:rFonts w:ascii="Times New Roman" w:eastAsia="Times New Roman" w:hAnsi="Times New Roman" w:cs="Times New Roman"/>
          <w:sz w:val="24"/>
          <w:szCs w:val="24"/>
          <w:lang w:eastAsia="fr-FR"/>
        </w:rPr>
        <w:t xml:space="preserve"> </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SimSun" w:hAnsi="Times New Roman" w:cs="Times New Roman"/>
          <w:b/>
          <w:sz w:val="24"/>
          <w:szCs w:val="24"/>
          <w:lang w:eastAsia="zh-CN"/>
        </w:rPr>
        <w:t>« </w:t>
      </w:r>
      <w:r w:rsidRPr="00C37C72">
        <w:rPr>
          <w:rFonts w:ascii="Times New Roman" w:eastAsia="Times New Roman" w:hAnsi="Times New Roman" w:cs="Times New Roman"/>
          <w:color w:val="000000"/>
          <w:sz w:val="24"/>
          <w:szCs w:val="24"/>
          <w:lang w:eastAsia="fr-FR"/>
        </w:rPr>
        <w:t>Les résistances des États membres</w:t>
      </w:r>
      <w:r w:rsidRPr="00C37C72">
        <w:rPr>
          <w:rFonts w:ascii="Times New Roman" w:eastAsia="Times New Roman" w:hAnsi="Times New Roman" w:cs="Times New Roman"/>
          <w:color w:val="FF0000"/>
          <w:sz w:val="24"/>
          <w:szCs w:val="24"/>
          <w:lang w:eastAsia="fr-FR"/>
        </w:rPr>
        <w:t xml:space="preserve"> </w:t>
      </w:r>
      <w:r w:rsidRPr="00C37C72">
        <w:rPr>
          <w:rFonts w:ascii="Times New Roman" w:eastAsia="Times New Roman" w:hAnsi="Times New Roman" w:cs="Times New Roman"/>
          <w:sz w:val="24"/>
          <w:szCs w:val="24"/>
          <w:lang w:eastAsia="fr-FR"/>
        </w:rPr>
        <w:t>développement des relations conventionnelles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Union européenne : quels enseignements tirer de la conclusion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accord de libre-échange UE/Canada et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accord d</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 xml:space="preserve">association UE/Ukraine ? », </w:t>
      </w:r>
      <w:r w:rsidRPr="00C37C72">
        <w:rPr>
          <w:rFonts w:ascii="Times New Roman" w:eastAsia="Times New Roman" w:hAnsi="Times New Roman" w:cs="Times New Roman"/>
          <w:bCs/>
          <w:i/>
          <w:sz w:val="24"/>
          <w:szCs w:val="24"/>
          <w:lang w:eastAsia="fr-FR"/>
        </w:rPr>
        <w:t>RTD eur.</w:t>
      </w:r>
      <w:r w:rsidRPr="00C37C72">
        <w:rPr>
          <w:rFonts w:ascii="Times New Roman" w:eastAsia="SimSun" w:hAnsi="Times New Roman" w:cs="Times New Roman"/>
          <w:sz w:val="24"/>
          <w:szCs w:val="24"/>
          <w:lang w:eastAsia="zh-CN"/>
        </w:rPr>
        <w:t>, 2017, n° 1.</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appel au juge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Union européenne souhaite juridictionnaliser le contentieux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 xml:space="preserve">investissement »,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i/>
          <w:sz w:val="24"/>
          <w:szCs w:val="24"/>
          <w:lang w:eastAsia="fr-FR"/>
        </w:rPr>
        <w:t>, 2016, n° 3, pp. 631-633</w:t>
      </w:r>
      <w:r w:rsidRPr="00C37C72">
        <w:rPr>
          <w:rFonts w:ascii="Times New Roman" w:eastAsia="Times New Roman" w:hAnsi="Times New Roman" w:cs="Times New Roman"/>
          <w:sz w:val="24"/>
          <w:szCs w:val="24"/>
          <w:lang w:eastAsia="fr-FR"/>
        </w:rPr>
        <w:t xml:space="preserve">. </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MS Mincho" w:hAnsi="Times New Roman" w:cs="Times New Roman"/>
          <w:bCs/>
          <w:color w:val="000000"/>
          <w:sz w:val="24"/>
          <w:szCs w:val="24"/>
          <w:lang w:eastAsia="fr-FR"/>
        </w:rPr>
        <w:t>« La Commission affiche les nouvelles orientations de sa politique commerciale dans la communication « Le commerce pour tous - Vers une politique de commerce et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 xml:space="preserve">investissement plus responsable (COM(2015) 497 final, 14 oct. 2015) », </w:t>
      </w:r>
      <w:r w:rsidRPr="00C37C72">
        <w:rPr>
          <w:rFonts w:ascii="Times New Roman" w:eastAsia="Times New Roman" w:hAnsi="Times New Roman" w:cs="Times New Roman"/>
          <w:sz w:val="24"/>
          <w:szCs w:val="24"/>
          <w:lang w:eastAsia="fr-FR"/>
        </w:rPr>
        <w:t xml:space="preserve">»,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i/>
          <w:sz w:val="24"/>
          <w:szCs w:val="24"/>
          <w:lang w:eastAsia="fr-FR"/>
        </w:rPr>
        <w:t xml:space="preserve">, </w:t>
      </w:r>
      <w:r w:rsidRPr="00C37C72">
        <w:rPr>
          <w:rFonts w:ascii="Times New Roman" w:eastAsia="Times New Roman" w:hAnsi="Times New Roman" w:cs="Times New Roman"/>
          <w:sz w:val="24"/>
          <w:szCs w:val="24"/>
          <w:lang w:eastAsia="fr-FR"/>
        </w:rPr>
        <w:t>2016, n° 1, pp. 137-140</w:t>
      </w:r>
      <w:r w:rsidRPr="00C37C72">
        <w:rPr>
          <w:rFonts w:ascii="Times New Roman" w:eastAsia="Times New Roman" w:hAnsi="Times New Roman" w:cs="Times New Roman"/>
          <w:i/>
          <w:sz w:val="24"/>
          <w:szCs w:val="24"/>
          <w:lang w:eastAsia="fr-FR"/>
        </w:rPr>
        <w:t>.</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MS Mincho" w:hAnsi="Times New Roman" w:cs="Times New Roman"/>
          <w:bCs/>
          <w:color w:val="000000"/>
          <w:sz w:val="24"/>
          <w:szCs w:val="24"/>
          <w:lang w:eastAsia="fr-FR"/>
        </w:rPr>
        <w:t>« Refus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invocabilité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une disposition de la convention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Aarhus. La Cour s</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oppose, dans une telle hypothèse, à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 xml:space="preserve">application des exceptions </w:t>
      </w:r>
      <w:r w:rsidRPr="00C37C72">
        <w:rPr>
          <w:rFonts w:ascii="Times New Roman" w:eastAsia="MS Mincho" w:hAnsi="Times New Roman" w:cs="Times New Roman"/>
          <w:bCs/>
          <w:i/>
          <w:iCs/>
          <w:color w:val="000000"/>
          <w:sz w:val="24"/>
          <w:szCs w:val="24"/>
          <w:lang w:eastAsia="fr-FR"/>
        </w:rPr>
        <w:t>Fédiol</w:t>
      </w:r>
      <w:r w:rsidRPr="00C37C72">
        <w:rPr>
          <w:rFonts w:ascii="Times New Roman" w:eastAsia="MS Mincho" w:hAnsi="Times New Roman" w:cs="Times New Roman"/>
          <w:bCs/>
          <w:color w:val="000000"/>
          <w:sz w:val="24"/>
          <w:szCs w:val="24"/>
          <w:lang w:eastAsia="fr-FR"/>
        </w:rPr>
        <w:t xml:space="preserve"> et </w:t>
      </w:r>
      <w:r w:rsidRPr="00C37C72">
        <w:rPr>
          <w:rFonts w:ascii="Times New Roman" w:eastAsia="MS Mincho" w:hAnsi="Times New Roman" w:cs="Times New Roman"/>
          <w:bCs/>
          <w:i/>
          <w:iCs/>
          <w:color w:val="000000"/>
          <w:sz w:val="24"/>
          <w:szCs w:val="24"/>
          <w:lang w:eastAsia="fr-FR"/>
        </w:rPr>
        <w:t>Nakajima</w:t>
      </w:r>
      <w:r w:rsidRPr="00C37C72">
        <w:rPr>
          <w:rFonts w:ascii="Times New Roman" w:eastAsia="MS Mincho" w:hAnsi="Times New Roman" w:cs="Times New Roman"/>
          <w:bCs/>
          <w:color w:val="000000"/>
          <w:sz w:val="24"/>
          <w:szCs w:val="24"/>
          <w:lang w:eastAsia="fr-FR"/>
        </w:rPr>
        <w:t xml:space="preserve"> (CJUE, gr. ch., 13 janvier 2015, aff. jtes C-401/12 P à C-403/12 P, </w:t>
      </w:r>
      <w:r w:rsidRPr="00C37C72">
        <w:rPr>
          <w:rFonts w:ascii="Times New Roman" w:eastAsia="MS Mincho" w:hAnsi="Times New Roman" w:cs="Times New Roman"/>
          <w:bCs/>
          <w:i/>
          <w:iCs/>
          <w:color w:val="000000"/>
          <w:sz w:val="24"/>
          <w:szCs w:val="24"/>
          <w:lang w:eastAsia="fr-FR"/>
        </w:rPr>
        <w:t>Conseil de l</w:t>
      </w:r>
      <w:r>
        <w:rPr>
          <w:rFonts w:ascii="Times New Roman" w:eastAsia="MS Mincho" w:hAnsi="Times New Roman" w:cs="Times New Roman"/>
          <w:bCs/>
          <w:i/>
          <w:iCs/>
          <w:color w:val="000000"/>
          <w:sz w:val="24"/>
          <w:szCs w:val="24"/>
          <w:lang w:eastAsia="fr-FR"/>
        </w:rPr>
        <w:t>’</w:t>
      </w:r>
      <w:r w:rsidRPr="00C37C72">
        <w:rPr>
          <w:rFonts w:ascii="Times New Roman" w:eastAsia="MS Mincho" w:hAnsi="Times New Roman" w:cs="Times New Roman"/>
          <w:bCs/>
          <w:i/>
          <w:iCs/>
          <w:color w:val="000000"/>
          <w:sz w:val="24"/>
          <w:szCs w:val="24"/>
          <w:lang w:eastAsia="fr-FR"/>
        </w:rPr>
        <w:t>Union européenne e.a. c/ Vereniging Milieudefensie</w:t>
      </w:r>
      <w:r w:rsidRPr="00C37C72">
        <w:rPr>
          <w:rFonts w:ascii="Times New Roman" w:eastAsia="MS Mincho" w:hAnsi="Times New Roman" w:cs="Times New Roman"/>
          <w:bCs/>
          <w:color w:val="000000"/>
          <w:sz w:val="24"/>
          <w:szCs w:val="24"/>
          <w:lang w:eastAsia="fr-FR"/>
        </w:rPr>
        <w:t xml:space="preserve"> et </w:t>
      </w:r>
      <w:r w:rsidRPr="00C37C72">
        <w:rPr>
          <w:rFonts w:ascii="Times New Roman" w:eastAsia="MS Mincho" w:hAnsi="Times New Roman" w:cs="Times New Roman"/>
          <w:bCs/>
          <w:i/>
          <w:iCs/>
          <w:color w:val="000000"/>
          <w:sz w:val="24"/>
          <w:szCs w:val="24"/>
          <w:lang w:eastAsia="fr-FR"/>
        </w:rPr>
        <w:t>Stichting Stop Luchtverontreiniging Utrecht</w:t>
      </w:r>
      <w:r w:rsidRPr="00C37C72">
        <w:rPr>
          <w:rFonts w:ascii="Times New Roman" w:eastAsia="MS Mincho" w:hAnsi="Times New Roman" w:cs="Times New Roman"/>
          <w:b/>
          <w:bCs/>
          <w:color w:val="151515"/>
          <w:sz w:val="24"/>
          <w:szCs w:val="24"/>
          <w:lang w:eastAsia="fr-FR"/>
        </w:rPr>
        <w:t xml:space="preserve">) </w:t>
      </w:r>
      <w:r w:rsidRPr="00C37C72">
        <w:rPr>
          <w:rFonts w:ascii="Times New Roman" w:eastAsia="Times New Roman" w:hAnsi="Times New Roman" w:cs="Times New Roman"/>
          <w:sz w:val="24"/>
          <w:szCs w:val="24"/>
          <w:lang w:eastAsia="fr-FR"/>
        </w:rPr>
        <w:t xml:space="preserve">»,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sz w:val="24"/>
          <w:szCs w:val="24"/>
          <w:lang w:eastAsia="fr-FR"/>
        </w:rPr>
        <w:t>, 2015, n° 3, pp. 615-617.</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MS Mincho" w:hAnsi="Times New Roman" w:cs="Times New Roman"/>
          <w:bCs/>
          <w:color w:val="000000"/>
          <w:sz w:val="24"/>
          <w:szCs w:val="24"/>
          <w:lang w:eastAsia="fr-FR"/>
        </w:rPr>
        <w:t>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Union se dote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un cadre juridique spécifique aux sanctions commerciales (Règl. (UE) n° 654/2014 du Parlement européen et du Conseil du 15 mai 2014 concernant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exercice des droits de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Union pour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application et le respect des règles du commerce international et modifiant le règlement (CE) n° 3286/94 du Conseil arrêtant les procédures communautaires en matière de politique commerciale commune en vue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assurer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exercice par la Communauté des droits qui lui sont conférés par les règles du commerce international, en particulier celles instituées sous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égide de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OMC, JOUE L 189/50 du 27 juin 2014</w:t>
      </w:r>
      <w:r w:rsidRPr="00C37C72">
        <w:rPr>
          <w:rFonts w:ascii="Times New Roman" w:eastAsia="MS Mincho" w:hAnsi="Times New Roman" w:cs="Times New Roman"/>
          <w:bCs/>
          <w:color w:val="151515"/>
          <w:sz w:val="24"/>
          <w:szCs w:val="24"/>
          <w:lang w:eastAsia="fr-FR"/>
        </w:rPr>
        <w:t xml:space="preserve">),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sz w:val="24"/>
          <w:szCs w:val="24"/>
          <w:lang w:eastAsia="fr-FR"/>
        </w:rPr>
        <w:t xml:space="preserve">, 2014, n° 3, pp. 762-765. </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MS Mincho" w:hAnsi="Times New Roman" w:cs="Times New Roman"/>
          <w:bCs/>
          <w:color w:val="000000"/>
          <w:sz w:val="24"/>
          <w:szCs w:val="24"/>
          <w:lang w:eastAsia="fr-FR"/>
        </w:rPr>
        <w:t>« Activités de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Union européenne au sein de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Organisation mondiale du commerce - Conférence ministérielle de Bali et activités de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Union dans le cadre du règlement des différends de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 xml:space="preserve">OMC »,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sz w:val="24"/>
          <w:szCs w:val="24"/>
          <w:lang w:eastAsia="fr-FR"/>
        </w:rPr>
        <w:t xml:space="preserve">, 2014, n° 1, pp. 197-200. </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MS Mincho" w:hAnsi="Times New Roman" w:cs="Times New Roman"/>
          <w:bCs/>
          <w:color w:val="000000"/>
          <w:sz w:val="24"/>
          <w:szCs w:val="24"/>
          <w:lang w:eastAsia="fr-FR"/>
        </w:rPr>
        <w:t>« Politique commerciale de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Union : confirmation et amplification de la stratégie du « bilatéralisme libre-échangiste », (Document de la Commission Le Commerce : source essentielle de croissance et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emploi pour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 xml:space="preserve">UE : Contribution de la Commission au Conseil européen des 7 et 8 févr. 2013, janv. 2013 et Conclusions du Conseil européen, Bruxelles, 7-8 févr. 2012, D/13/1, ) »,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sz w:val="24"/>
          <w:szCs w:val="24"/>
          <w:lang w:eastAsia="fr-FR"/>
        </w:rPr>
        <w:t>, 2013, n°3, pp. 602-605.</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MS Mincho" w:hAnsi="Times New Roman" w:cs="Times New Roman"/>
          <w:bCs/>
          <w:color w:val="000000"/>
          <w:sz w:val="24"/>
          <w:szCs w:val="24"/>
          <w:lang w:eastAsia="fr-FR"/>
        </w:rPr>
        <w:t xml:space="preserve">« Adoption du nouveau règlement SPG (Règl. (UE) n° 978/2012 du Parlement européen et du Conseil du 25 oct. 2012 appliquant un schéma de préférences tarifaires généralisées (SPG) et abrogeant règl. (CE) n° 732/2008 du Conseil, JOUE L 303, p. 1) »,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sz w:val="24"/>
          <w:szCs w:val="24"/>
          <w:lang w:eastAsia="fr-FR"/>
        </w:rPr>
        <w:t>, 2013, n°1, pp. 140-142.</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MS Mincho" w:hAnsi="Times New Roman" w:cs="Times New Roman"/>
          <w:bCs/>
          <w:color w:val="000000"/>
          <w:sz w:val="24"/>
          <w:szCs w:val="24"/>
          <w:lang w:eastAsia="fr-FR"/>
        </w:rPr>
        <w:t>« Dispositif transitoire pour les accords bilatéraux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investissement des États membres (Règl. (UE) n° 1219/2012 du Parlement européen et du Conseil du 12 déc. 2012 établissant des dispositions transitoires pour les accords bilatéraux d</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 xml:space="preserve">investissement conclus entre des États membres et des pays tiers, JOUE L 351, p. 40) »,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sz w:val="24"/>
          <w:szCs w:val="24"/>
          <w:lang w:eastAsia="fr-FR"/>
        </w:rPr>
        <w:t xml:space="preserve">, 2013, n°1, pp. 144-147. </w:t>
      </w:r>
    </w:p>
    <w:p w:rsidR="00B010F5" w:rsidRPr="00C37C72" w:rsidRDefault="00B010F5" w:rsidP="00B010F5">
      <w:pPr>
        <w:numPr>
          <w:ilvl w:val="0"/>
          <w:numId w:val="2"/>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MS Mincho" w:hAnsi="Times New Roman" w:cs="Times New Roman"/>
          <w:bCs/>
          <w:color w:val="000000"/>
          <w:sz w:val="24"/>
          <w:szCs w:val="24"/>
          <w:lang w:eastAsia="fr-FR"/>
        </w:rPr>
        <w:t>« Le conseiller-auditeur, rattaché organiquement et statutairement à la Commission, jouera un rôle de facilitateur des rapports entre les services de la Commission et les personnes intéressées par les procédures de la politique commerciale, notamment pour l</w:t>
      </w:r>
      <w:r>
        <w:rPr>
          <w:rFonts w:ascii="Times New Roman" w:eastAsia="MS Mincho" w:hAnsi="Times New Roman" w:cs="Times New Roman"/>
          <w:bCs/>
          <w:color w:val="000000"/>
          <w:sz w:val="24"/>
          <w:szCs w:val="24"/>
          <w:lang w:eastAsia="fr-FR"/>
        </w:rPr>
        <w:t>’</w:t>
      </w:r>
      <w:r w:rsidRPr="00C37C72">
        <w:rPr>
          <w:rFonts w:ascii="Times New Roman" w:eastAsia="MS Mincho" w:hAnsi="Times New Roman" w:cs="Times New Roman"/>
          <w:bCs/>
          <w:color w:val="000000"/>
          <w:sz w:val="24"/>
          <w:szCs w:val="24"/>
          <w:lang w:eastAsia="fr-FR"/>
        </w:rPr>
        <w:t xml:space="preserve">accès aux documents confidentiels (Décis. du président de la Commission européenne du 29 févr. 2012 relative à la fonction et au mandat du conseiller-auditeur dans le cadre de certaines procédures commerciales, JOUE L 107, p. 5) », </w:t>
      </w:r>
      <w:r w:rsidRPr="00C37C72">
        <w:rPr>
          <w:rFonts w:ascii="Times New Roman" w:eastAsia="Times New Roman" w:hAnsi="Times New Roman" w:cs="Times New Roman"/>
          <w:bCs/>
          <w:i/>
          <w:sz w:val="24"/>
          <w:szCs w:val="24"/>
          <w:lang w:eastAsia="fr-FR"/>
        </w:rPr>
        <w:t>RTD eur.</w:t>
      </w:r>
      <w:r w:rsidRPr="00C37C72">
        <w:rPr>
          <w:rFonts w:ascii="Times New Roman" w:eastAsia="Times New Roman" w:hAnsi="Times New Roman" w:cs="Times New Roman"/>
          <w:sz w:val="24"/>
          <w:szCs w:val="24"/>
          <w:lang w:eastAsia="fr-FR"/>
        </w:rPr>
        <w:t xml:space="preserve">, 2012, pp. 725-727. </w:t>
      </w:r>
    </w:p>
    <w:p w:rsidR="00B010F5" w:rsidRPr="00C37C72" w:rsidRDefault="00B010F5" w:rsidP="00B010F5">
      <w:pPr>
        <w:numPr>
          <w:ilvl w:val="0"/>
          <w:numId w:val="13"/>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J.H. JACKSON, « Observations sur les résultats du cycle d</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Uruguay ", R.G.D.I.P., 1994, n° 3-4, p. 675-688.</w:t>
      </w:r>
    </w:p>
    <w:p w:rsidR="00B010F5" w:rsidRPr="008D7D7F" w:rsidRDefault="00B010F5" w:rsidP="00B010F5">
      <w:pPr>
        <w:pStyle w:val="Paragraphedeliste"/>
        <w:numPr>
          <w:ilvl w:val="0"/>
          <w:numId w:val="14"/>
        </w:numPr>
        <w:spacing w:after="160" w:line="259" w:lineRule="auto"/>
        <w:jc w:val="both"/>
        <w:rPr>
          <w:rFonts w:ascii="Times New Roman" w:eastAsia="Times New Roman" w:hAnsi="Times New Roman" w:cs="Times New Roman"/>
          <w:sz w:val="24"/>
          <w:szCs w:val="24"/>
          <w:lang w:val="en-GB" w:eastAsia="fr-FR"/>
        </w:rPr>
      </w:pPr>
      <w:r w:rsidRPr="008D7D7F">
        <w:rPr>
          <w:rFonts w:ascii="Times New Roman" w:eastAsia="Times New Roman" w:hAnsi="Times New Roman" w:cs="Times New Roman"/>
          <w:caps/>
          <w:sz w:val="24"/>
          <w:szCs w:val="24"/>
          <w:lang w:val="en-GB" w:eastAsia="fr-FR"/>
        </w:rPr>
        <w:t>S. Lacey</w:t>
      </w:r>
      <w:r>
        <w:rPr>
          <w:rFonts w:ascii="Times New Roman" w:eastAsia="Times New Roman" w:hAnsi="Times New Roman" w:cs="Times New Roman"/>
          <w:sz w:val="24"/>
          <w:szCs w:val="24"/>
          <w:lang w:val="en-GB" w:eastAsia="fr-FR"/>
        </w:rPr>
        <w:t>,</w:t>
      </w:r>
      <w:r w:rsidRPr="008D7D7F">
        <w:rPr>
          <w:rFonts w:ascii="Times New Roman" w:eastAsia="Times New Roman" w:hAnsi="Times New Roman" w:cs="Times New Roman"/>
          <w:sz w:val="24"/>
          <w:szCs w:val="24"/>
          <w:lang w:val="en-GB" w:eastAsia="fr-FR"/>
        </w:rPr>
        <w:t xml:space="preserve"> </w:t>
      </w:r>
      <w:r>
        <w:rPr>
          <w:rFonts w:ascii="Times New Roman" w:eastAsia="Times New Roman" w:hAnsi="Times New Roman" w:cs="Times New Roman"/>
          <w:sz w:val="24"/>
          <w:szCs w:val="24"/>
          <w:lang w:val="en-GB" w:eastAsia="fr-FR"/>
        </w:rPr>
        <w:t>“</w:t>
      </w:r>
      <w:r w:rsidRPr="008D7D7F">
        <w:rPr>
          <w:rFonts w:ascii="Times New Roman" w:eastAsia="Times New Roman" w:hAnsi="Times New Roman" w:cs="Times New Roman"/>
          <w:sz w:val="24"/>
          <w:szCs w:val="24"/>
          <w:lang w:val="en-GB" w:eastAsia="fr-FR"/>
        </w:rPr>
        <w:t>The Lack Of Consensus on New Trade Rules to Govern the D</w:t>
      </w:r>
      <w:r>
        <w:rPr>
          <w:rFonts w:ascii="Times New Roman" w:eastAsia="Times New Roman" w:hAnsi="Times New Roman" w:cs="Times New Roman"/>
          <w:sz w:val="24"/>
          <w:szCs w:val="24"/>
          <w:lang w:val="en-GB" w:eastAsia="fr-FR"/>
        </w:rPr>
        <w:t xml:space="preserve">igital Economy”, </w:t>
      </w:r>
      <w:r w:rsidRPr="008D7D7F">
        <w:rPr>
          <w:rFonts w:ascii="Times New Roman" w:eastAsia="Times New Roman" w:hAnsi="Times New Roman" w:cs="Times New Roman"/>
          <w:i/>
          <w:sz w:val="24"/>
          <w:szCs w:val="24"/>
          <w:lang w:val="en-GB" w:eastAsia="fr-FR"/>
        </w:rPr>
        <w:t>Journal of World Trade</w:t>
      </w:r>
      <w:r>
        <w:rPr>
          <w:rFonts w:ascii="Times New Roman" w:eastAsia="Times New Roman" w:hAnsi="Times New Roman" w:cs="Times New Roman"/>
          <w:sz w:val="24"/>
          <w:szCs w:val="24"/>
          <w:lang w:val="en-GB" w:eastAsia="fr-FR"/>
        </w:rPr>
        <w:t xml:space="preserve">, 54, n° 2 (2020) pp. 199-218 </w:t>
      </w:r>
      <w:r w:rsidRPr="008D7D7F">
        <w:rPr>
          <w:rFonts w:ascii="Times New Roman" w:eastAsia="Times New Roman" w:hAnsi="Times New Roman" w:cs="Times New Roman"/>
          <w:sz w:val="24"/>
          <w:szCs w:val="24"/>
          <w:lang w:val="en-GB" w:eastAsia="fr-FR"/>
        </w:rPr>
        <w:t xml:space="preserve"> </w:t>
      </w:r>
    </w:p>
    <w:p w:rsidR="00A87067" w:rsidRDefault="00A87067" w:rsidP="00A87067">
      <w:pPr>
        <w:numPr>
          <w:ilvl w:val="0"/>
          <w:numId w:val="15"/>
        </w:numPr>
        <w:spacing w:after="240" w:line="240" w:lineRule="auto"/>
        <w:jc w:val="both"/>
        <w:rPr>
          <w:rFonts w:ascii="Times New Roman" w:eastAsia="Times New Roman" w:hAnsi="Times New Roman" w:cs="Times New Roman"/>
          <w:sz w:val="24"/>
          <w:szCs w:val="24"/>
          <w:lang w:eastAsia="fr-FR"/>
        </w:rPr>
      </w:pPr>
      <w:r w:rsidRPr="00A87067">
        <w:rPr>
          <w:rFonts w:ascii="Times New Roman" w:eastAsia="Times New Roman" w:hAnsi="Times New Roman" w:cs="Times New Roman"/>
          <w:caps/>
          <w:sz w:val="24"/>
          <w:szCs w:val="24"/>
          <w:lang w:eastAsia="fr-FR"/>
        </w:rPr>
        <w:t>Ph. Musquar</w:t>
      </w:r>
      <w:r w:rsidRPr="00A87067">
        <w:rPr>
          <w:rFonts w:ascii="Times New Roman" w:eastAsia="Times New Roman" w:hAnsi="Times New Roman" w:cs="Times New Roman"/>
          <w:sz w:val="24"/>
          <w:szCs w:val="24"/>
          <w:lang w:eastAsia="fr-FR"/>
        </w:rPr>
        <w:t>, Politique commerciale de l’Union européenne, Larcier, 2020</w:t>
      </w:r>
    </w:p>
    <w:p w:rsidR="00B010F5" w:rsidRPr="00523B73" w:rsidRDefault="00B010F5" w:rsidP="00B010F5">
      <w:pPr>
        <w:numPr>
          <w:ilvl w:val="0"/>
          <w:numId w:val="18"/>
        </w:numPr>
        <w:spacing w:after="240" w:line="240" w:lineRule="auto"/>
        <w:jc w:val="both"/>
        <w:rPr>
          <w:rFonts w:ascii="Times New Roman" w:eastAsia="Times New Roman" w:hAnsi="Times New Roman" w:cs="Times New Roman"/>
          <w:sz w:val="24"/>
          <w:szCs w:val="24"/>
          <w:lang w:val="en-GB" w:eastAsia="fr-FR"/>
        </w:rPr>
      </w:pPr>
      <w:r w:rsidRPr="009E298A">
        <w:rPr>
          <w:rFonts w:ascii="Times New Roman" w:eastAsia="Times New Roman" w:hAnsi="Times New Roman" w:cs="Times New Roman"/>
          <w:caps/>
          <w:sz w:val="24"/>
          <w:szCs w:val="24"/>
          <w:lang w:val="en-GB" w:eastAsia="fr-FR"/>
        </w:rPr>
        <w:t>J. Pauwelyn</w:t>
      </w:r>
      <w:r w:rsidRPr="009E298A">
        <w:rPr>
          <w:rFonts w:ascii="Times New Roman" w:eastAsia="Times New Roman" w:hAnsi="Times New Roman" w:cs="Times New Roman"/>
          <w:sz w:val="24"/>
          <w:szCs w:val="24"/>
          <w:lang w:val="en-GB" w:eastAsia="fr-FR"/>
        </w:rPr>
        <w:t xml:space="preserve">, “Export Restrictions in Times of Pandemic: Options and Limits under International Trade Agreements” (30 avr. 2020). </w:t>
      </w:r>
      <w:r w:rsidRPr="00523B73">
        <w:rPr>
          <w:rFonts w:ascii="Times New Roman" w:eastAsia="Times New Roman" w:hAnsi="Times New Roman" w:cs="Times New Roman"/>
          <w:sz w:val="24"/>
          <w:szCs w:val="24"/>
          <w:lang w:val="en-GB" w:eastAsia="fr-FR"/>
        </w:rPr>
        <w:t xml:space="preserve">Disponible à l’adresse </w:t>
      </w:r>
      <w:hyperlink r:id="rId15" w:history="1">
        <w:r w:rsidRPr="00523B73">
          <w:rPr>
            <w:rStyle w:val="Lienhypertexte"/>
            <w:rFonts w:ascii="Times New Roman" w:eastAsia="Times New Roman" w:hAnsi="Times New Roman" w:cs="Times New Roman"/>
            <w:sz w:val="24"/>
            <w:szCs w:val="24"/>
            <w:lang w:val="en-GB" w:eastAsia="fr-FR"/>
          </w:rPr>
          <w:t>https://ssrn.com/abstract=3579965</w:t>
        </w:r>
      </w:hyperlink>
      <w:r w:rsidRPr="00523B73">
        <w:rPr>
          <w:rFonts w:ascii="Times New Roman" w:eastAsia="Times New Roman" w:hAnsi="Times New Roman" w:cs="Times New Roman"/>
          <w:sz w:val="24"/>
          <w:szCs w:val="24"/>
          <w:lang w:val="en-GB" w:eastAsia="fr-FR"/>
        </w:rPr>
        <w:t>.</w:t>
      </w:r>
    </w:p>
    <w:p w:rsidR="00B010F5" w:rsidRDefault="00B010F5" w:rsidP="00B010F5">
      <w:pPr>
        <w:numPr>
          <w:ilvl w:val="0"/>
          <w:numId w:val="18"/>
        </w:numPr>
        <w:spacing w:after="240" w:line="240" w:lineRule="auto"/>
        <w:jc w:val="both"/>
        <w:rPr>
          <w:rFonts w:ascii="Times New Roman" w:eastAsia="Times New Roman" w:hAnsi="Times New Roman" w:cs="Times New Roman"/>
          <w:sz w:val="24"/>
          <w:szCs w:val="24"/>
          <w:lang w:eastAsia="fr-FR"/>
        </w:rPr>
      </w:pPr>
      <w:r w:rsidRPr="008D7D7F">
        <w:rPr>
          <w:rFonts w:ascii="Times New Roman" w:eastAsia="Times New Roman" w:hAnsi="Times New Roman" w:cs="Times New Roman"/>
          <w:sz w:val="24"/>
          <w:szCs w:val="24"/>
          <w:lang w:val="en-GB" w:eastAsia="fr-FR"/>
        </w:rPr>
        <w:t xml:space="preserve">J. PAUWELYN, </w:t>
      </w:r>
      <w:r>
        <w:rPr>
          <w:rFonts w:ascii="Times New Roman" w:eastAsia="Times New Roman" w:hAnsi="Times New Roman" w:cs="Times New Roman"/>
          <w:sz w:val="24"/>
          <w:szCs w:val="24"/>
          <w:lang w:val="en-GB" w:eastAsia="fr-FR"/>
        </w:rPr>
        <w:t>“</w:t>
      </w:r>
      <w:r w:rsidRPr="008D7D7F">
        <w:rPr>
          <w:rFonts w:ascii="Times New Roman" w:eastAsia="Times New Roman" w:hAnsi="Times New Roman" w:cs="Times New Roman"/>
          <w:sz w:val="24"/>
          <w:szCs w:val="24"/>
          <w:lang w:val="en-GB" w:eastAsia="fr-FR"/>
        </w:rPr>
        <w:t>Carbon Leakage Measures and Border Tax Adjustments Under WTO Law</w:t>
      </w:r>
      <w:r>
        <w:rPr>
          <w:rFonts w:ascii="Times New Roman" w:eastAsia="Times New Roman" w:hAnsi="Times New Roman" w:cs="Times New Roman"/>
          <w:sz w:val="24"/>
          <w:szCs w:val="24"/>
          <w:lang w:val="en-GB" w:eastAsia="fr-FR"/>
        </w:rPr>
        <w:t>”</w:t>
      </w:r>
      <w:r w:rsidRPr="008D7D7F">
        <w:rPr>
          <w:rFonts w:ascii="Times New Roman" w:eastAsia="Times New Roman" w:hAnsi="Times New Roman" w:cs="Times New Roman"/>
          <w:sz w:val="24"/>
          <w:szCs w:val="24"/>
          <w:lang w:val="en-GB" w:eastAsia="fr-FR"/>
        </w:rPr>
        <w:t xml:space="preserve"> (March 21, 2012).</w:t>
      </w:r>
      <w:r>
        <w:rPr>
          <w:rFonts w:ascii="Times New Roman" w:eastAsia="Times New Roman" w:hAnsi="Times New Roman" w:cs="Times New Roman"/>
          <w:sz w:val="24"/>
          <w:szCs w:val="24"/>
          <w:lang w:val="en-GB" w:eastAsia="fr-FR"/>
        </w:rPr>
        <w:t xml:space="preserve"> </w:t>
      </w:r>
      <w:r w:rsidRPr="008D7D7F">
        <w:rPr>
          <w:rFonts w:ascii="Times New Roman" w:eastAsia="Times New Roman" w:hAnsi="Times New Roman" w:cs="Times New Roman"/>
          <w:sz w:val="24"/>
          <w:szCs w:val="24"/>
          <w:lang w:eastAsia="fr-FR"/>
        </w:rPr>
        <w:t xml:space="preserve">Disponible à l’adresse : https://ssrn.com/abstract=2026879 or </w:t>
      </w:r>
      <w:hyperlink r:id="rId16" w:history="1">
        <w:r w:rsidRPr="00B07B20">
          <w:rPr>
            <w:rStyle w:val="Lienhypertexte"/>
            <w:rFonts w:ascii="Times New Roman" w:eastAsia="Times New Roman" w:hAnsi="Times New Roman" w:cs="Times New Roman"/>
            <w:sz w:val="24"/>
            <w:szCs w:val="24"/>
            <w:lang w:eastAsia="fr-FR"/>
          </w:rPr>
          <w:t>http://dx.doi.org/10.2139/ssrn.2026879</w:t>
        </w:r>
      </w:hyperlink>
    </w:p>
    <w:p w:rsidR="00B010F5" w:rsidRDefault="00B010F5" w:rsidP="00B010F5">
      <w:pPr>
        <w:numPr>
          <w:ilvl w:val="0"/>
          <w:numId w:val="18"/>
        </w:numPr>
        <w:spacing w:after="240" w:line="240" w:lineRule="auto"/>
        <w:jc w:val="both"/>
        <w:rPr>
          <w:rFonts w:ascii="Times New Roman" w:eastAsia="Times New Roman" w:hAnsi="Times New Roman" w:cs="Times New Roman"/>
          <w:sz w:val="24"/>
          <w:szCs w:val="24"/>
          <w:lang w:val="en-GB" w:eastAsia="fr-FR"/>
        </w:rPr>
      </w:pPr>
      <w:r w:rsidRPr="00455C5D">
        <w:rPr>
          <w:rFonts w:ascii="Times New Roman" w:eastAsia="Times New Roman" w:hAnsi="Times New Roman" w:cs="Times New Roman"/>
          <w:caps/>
          <w:sz w:val="24"/>
          <w:szCs w:val="24"/>
          <w:lang w:val="en-GB" w:eastAsia="fr-FR"/>
        </w:rPr>
        <w:t>M. Pinchis-Paulsen</w:t>
      </w:r>
      <w:r w:rsidRPr="00455C5D">
        <w:rPr>
          <w:rFonts w:ascii="Times New Roman" w:eastAsia="Times New Roman" w:hAnsi="Times New Roman" w:cs="Times New Roman"/>
          <w:sz w:val="24"/>
          <w:szCs w:val="24"/>
          <w:lang w:val="en-GB" w:eastAsia="fr-FR"/>
        </w:rPr>
        <w:t xml:space="preserve">, </w:t>
      </w:r>
      <w:r>
        <w:rPr>
          <w:rFonts w:ascii="Times New Roman" w:eastAsia="Times New Roman" w:hAnsi="Times New Roman" w:cs="Times New Roman"/>
          <w:sz w:val="24"/>
          <w:szCs w:val="24"/>
          <w:lang w:val="en-GB" w:eastAsia="fr-FR"/>
        </w:rPr>
        <w:t>“</w:t>
      </w:r>
      <w:r w:rsidRPr="00455C5D">
        <w:rPr>
          <w:rFonts w:ascii="Times New Roman" w:eastAsia="Times New Roman" w:hAnsi="Times New Roman" w:cs="Times New Roman"/>
          <w:sz w:val="24"/>
          <w:szCs w:val="24"/>
          <w:lang w:val="en-GB" w:eastAsia="fr-FR"/>
        </w:rPr>
        <w:t>Trade Multilateralism and National Security:</w:t>
      </w:r>
      <w:r>
        <w:rPr>
          <w:rFonts w:ascii="Times New Roman" w:eastAsia="Times New Roman" w:hAnsi="Times New Roman" w:cs="Times New Roman"/>
          <w:sz w:val="24"/>
          <w:szCs w:val="24"/>
          <w:lang w:val="en-GB" w:eastAsia="fr-FR"/>
        </w:rPr>
        <w:t xml:space="preserve"> </w:t>
      </w:r>
      <w:r w:rsidRPr="00455C5D">
        <w:rPr>
          <w:rFonts w:ascii="Times New Roman" w:eastAsia="Times New Roman" w:hAnsi="Times New Roman" w:cs="Times New Roman"/>
          <w:sz w:val="24"/>
          <w:szCs w:val="24"/>
          <w:lang w:val="en-GB" w:eastAsia="fr-FR"/>
        </w:rPr>
        <w:t>Antinomies in the History of the International Trade Organization</w:t>
      </w:r>
      <w:r>
        <w:rPr>
          <w:rFonts w:ascii="Times New Roman" w:eastAsia="Times New Roman" w:hAnsi="Times New Roman" w:cs="Times New Roman"/>
          <w:sz w:val="24"/>
          <w:szCs w:val="24"/>
          <w:lang w:val="en-GB" w:eastAsia="fr-FR"/>
        </w:rPr>
        <w:t xml:space="preserve">”, disponible à l’adresse : </w:t>
      </w:r>
      <w:hyperlink r:id="rId17" w:history="1">
        <w:r w:rsidRPr="00B07B20">
          <w:rPr>
            <w:rStyle w:val="Lienhypertexte"/>
            <w:rFonts w:ascii="Times New Roman" w:eastAsia="Times New Roman" w:hAnsi="Times New Roman" w:cs="Times New Roman"/>
            <w:sz w:val="24"/>
            <w:szCs w:val="24"/>
            <w:lang w:val="en-GB" w:eastAsia="fr-FR"/>
          </w:rPr>
          <w:t>https://papers.ssrn.com/sol3/papers.cfm?abstract_id=3353426</w:t>
        </w:r>
      </w:hyperlink>
    </w:p>
    <w:p w:rsidR="00B010F5" w:rsidRPr="00C37C72" w:rsidRDefault="00B010F5" w:rsidP="00B010F5">
      <w:pPr>
        <w:numPr>
          <w:ilvl w:val="0"/>
          <w:numId w:val="19"/>
        </w:numPr>
        <w:spacing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caps/>
          <w:sz w:val="24"/>
          <w:szCs w:val="24"/>
          <w:lang w:eastAsia="fr-FR"/>
        </w:rPr>
        <w:t xml:space="preserve">C. </w:t>
      </w:r>
      <w:r w:rsidRPr="00C37C72">
        <w:rPr>
          <w:rFonts w:ascii="Times New Roman" w:eastAsia="Times New Roman" w:hAnsi="Times New Roman" w:cs="Times New Roman"/>
          <w:caps/>
          <w:sz w:val="24"/>
          <w:szCs w:val="24"/>
          <w:lang w:eastAsia="fr-FR"/>
        </w:rPr>
        <w:t>R</w:t>
      </w:r>
      <w:r>
        <w:rPr>
          <w:rFonts w:ascii="Times New Roman" w:eastAsia="Times New Roman" w:hAnsi="Times New Roman" w:cs="Times New Roman"/>
          <w:caps/>
          <w:sz w:val="24"/>
          <w:szCs w:val="24"/>
          <w:lang w:eastAsia="fr-FR"/>
        </w:rPr>
        <w:t>apoport</w:t>
      </w:r>
      <w:r w:rsidRPr="00C37C72">
        <w:rPr>
          <w:rFonts w:ascii="Times New Roman" w:eastAsia="Times New Roman" w:hAnsi="Times New Roman" w:cs="Times New Roman"/>
          <w:sz w:val="24"/>
          <w:szCs w:val="24"/>
          <w:lang w:eastAsia="fr-FR"/>
        </w:rPr>
        <w:t xml:space="preserve"> (dir.), </w:t>
      </w:r>
      <w:r w:rsidRPr="00C37C72">
        <w:rPr>
          <w:rFonts w:ascii="Times New Roman" w:eastAsia="Times New Roman" w:hAnsi="Times New Roman" w:cs="Times New Roman"/>
          <w:i/>
          <w:sz w:val="24"/>
          <w:szCs w:val="24"/>
          <w:lang w:eastAsia="fr-FR"/>
        </w:rPr>
        <w:t>L</w:t>
      </w:r>
      <w:r>
        <w:rPr>
          <w:rFonts w:ascii="Times New Roman" w:eastAsia="Times New Roman" w:hAnsi="Times New Roman" w:cs="Times New Roman"/>
          <w:i/>
          <w:sz w:val="24"/>
          <w:szCs w:val="24"/>
          <w:lang w:eastAsia="fr-FR"/>
        </w:rPr>
        <w:t>’</w:t>
      </w:r>
      <w:r w:rsidRPr="00C37C72">
        <w:rPr>
          <w:rFonts w:ascii="Times New Roman" w:eastAsia="Times New Roman" w:hAnsi="Times New Roman" w:cs="Times New Roman"/>
          <w:i/>
          <w:sz w:val="24"/>
          <w:szCs w:val="24"/>
          <w:lang w:eastAsia="fr-FR"/>
        </w:rPr>
        <w:t>Accord économique et commercial global</w:t>
      </w:r>
      <w:r w:rsidRPr="00C37C72">
        <w:rPr>
          <w:rFonts w:ascii="Times New Roman" w:eastAsia="Times New Roman" w:hAnsi="Times New Roman" w:cs="Times New Roman"/>
          <w:sz w:val="24"/>
          <w:szCs w:val="24"/>
          <w:lang w:eastAsia="fr-FR"/>
        </w:rPr>
        <w:t>, numéro spécial de la Revue des affaires européennes (RAE),</w:t>
      </w:r>
      <w:r>
        <w:rPr>
          <w:rFonts w:ascii="Times New Roman" w:eastAsia="Times New Roman" w:hAnsi="Times New Roman" w:cs="Times New Roman"/>
          <w:sz w:val="24"/>
          <w:szCs w:val="24"/>
          <w:lang w:eastAsia="fr-FR"/>
        </w:rPr>
        <w:t xml:space="preserve"> 2017/2</w:t>
      </w:r>
    </w:p>
    <w:p w:rsidR="00B010F5" w:rsidRPr="00C37C72" w:rsidRDefault="00B010F5" w:rsidP="00B010F5">
      <w:pPr>
        <w:numPr>
          <w:ilvl w:val="0"/>
          <w:numId w:val="19"/>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B. REMICHE, H. RUIZ–FABRI (dir.), « Le commerce international entre bi- et multilatéralisme », éd. Larcier, Bruxelles, 2010.</w:t>
      </w:r>
    </w:p>
    <w:p w:rsidR="00B010F5" w:rsidRPr="00C37C72" w:rsidRDefault="00B010F5" w:rsidP="00B010F5">
      <w:pPr>
        <w:numPr>
          <w:ilvl w:val="0"/>
          <w:numId w:val="2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H. RUIZ FABRI, « Le juge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 ombres et lumières d</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une figure judiciaire singulière », R. G. D. I. P., n° 1, 2006.</w:t>
      </w:r>
    </w:p>
    <w:p w:rsidR="00B010F5" w:rsidRDefault="00B010F5" w:rsidP="00B010F5">
      <w:pPr>
        <w:numPr>
          <w:ilvl w:val="0"/>
          <w:numId w:val="2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 xml:space="preserve">H. RUIZ FABRI, </w:t>
      </w:r>
      <w:r w:rsidRPr="00C37C72">
        <w:rPr>
          <w:rFonts w:ascii="Times New Roman" w:eastAsia="Times New Roman" w:hAnsi="Times New Roman" w:cs="Times New Roman"/>
          <w:caps/>
          <w:sz w:val="24"/>
          <w:szCs w:val="24"/>
          <w:lang w:eastAsia="fr-FR"/>
        </w:rPr>
        <w:t>P. Monnier</w:t>
      </w:r>
      <w:r w:rsidRPr="00C37C72">
        <w:rPr>
          <w:rFonts w:ascii="Times New Roman" w:eastAsia="Times New Roman" w:hAnsi="Times New Roman" w:cs="Times New Roman"/>
          <w:sz w:val="24"/>
          <w:szCs w:val="24"/>
          <w:lang w:eastAsia="fr-FR"/>
        </w:rPr>
        <w:t xml:space="preserve">, Chronique du contentieux OMC, Journal du droit international, depuis 1996. </w:t>
      </w:r>
    </w:p>
    <w:p w:rsidR="00A87067" w:rsidRPr="00C37C72" w:rsidRDefault="00A87067" w:rsidP="00A87067">
      <w:pPr>
        <w:numPr>
          <w:ilvl w:val="0"/>
          <w:numId w:val="21"/>
        </w:numPr>
        <w:spacing w:after="240" w:line="240" w:lineRule="auto"/>
        <w:jc w:val="both"/>
        <w:rPr>
          <w:rFonts w:ascii="Times New Roman" w:eastAsia="Times New Roman" w:hAnsi="Times New Roman" w:cs="Times New Roman"/>
          <w:sz w:val="24"/>
          <w:szCs w:val="24"/>
          <w:lang w:eastAsia="fr-FR"/>
        </w:rPr>
      </w:pPr>
      <w:r w:rsidRPr="00A87067">
        <w:rPr>
          <w:rFonts w:ascii="Times New Roman" w:eastAsia="Times New Roman" w:hAnsi="Times New Roman" w:cs="Times New Roman"/>
          <w:caps/>
          <w:sz w:val="24"/>
          <w:szCs w:val="24"/>
          <w:lang w:eastAsia="fr-FR"/>
        </w:rPr>
        <w:t>H. Ruiz-Fabri &amp; E. Stoppioni</w:t>
      </w:r>
      <w:r w:rsidRPr="00A87067">
        <w:rPr>
          <w:rFonts w:ascii="Times New Roman" w:eastAsia="Times New Roman" w:hAnsi="Times New Roman" w:cs="Times New Roman"/>
          <w:sz w:val="24"/>
          <w:szCs w:val="24"/>
          <w:lang w:eastAsia="fr-FR"/>
        </w:rPr>
        <w:t>, « OMC : Commerce international des marchandises », Jurisclasseur, Fascicule 130-20, 2018</w:t>
      </w:r>
    </w:p>
    <w:p w:rsidR="00B010F5" w:rsidRDefault="00B010F5" w:rsidP="00B010F5">
      <w:pPr>
        <w:numPr>
          <w:ilvl w:val="0"/>
          <w:numId w:val="21"/>
        </w:numPr>
        <w:spacing w:after="240" w:line="240" w:lineRule="auto"/>
        <w:jc w:val="both"/>
        <w:rPr>
          <w:rFonts w:ascii="Times New Roman" w:eastAsia="Times New Roman" w:hAnsi="Times New Roman" w:cs="Times New Roman"/>
          <w:sz w:val="24"/>
          <w:szCs w:val="24"/>
          <w:lang w:eastAsia="fr-FR"/>
        </w:rPr>
      </w:pPr>
      <w:r w:rsidRPr="00E51338">
        <w:rPr>
          <w:rFonts w:ascii="Times New Roman" w:eastAsia="Times New Roman" w:hAnsi="Times New Roman" w:cs="Times New Roman"/>
          <w:sz w:val="24"/>
          <w:szCs w:val="24"/>
          <w:lang w:eastAsia="fr-FR"/>
        </w:rPr>
        <w:t xml:space="preserve">P. MONNIER, H. RUIZ FABRI, « OMC, droit institutionnel », fasc. 130-10, n°5, , et « OMC, Règlement des différends », </w:t>
      </w:r>
      <w:r>
        <w:rPr>
          <w:rFonts w:ascii="Times New Roman" w:eastAsia="Times New Roman" w:hAnsi="Times New Roman" w:cs="Times New Roman"/>
          <w:sz w:val="24"/>
          <w:szCs w:val="24"/>
          <w:lang w:eastAsia="fr-FR"/>
        </w:rPr>
        <w:t>Juri</w:t>
      </w:r>
      <w:r w:rsidR="000A2504">
        <w:rPr>
          <w:rFonts w:ascii="Times New Roman" w:eastAsia="Times New Roman" w:hAnsi="Times New Roman" w:cs="Times New Roman"/>
          <w:sz w:val="24"/>
          <w:szCs w:val="24"/>
          <w:lang w:eastAsia="fr-FR"/>
        </w:rPr>
        <w:t>s</w:t>
      </w:r>
      <w:r>
        <w:rPr>
          <w:rFonts w:ascii="Times New Roman" w:eastAsia="Times New Roman" w:hAnsi="Times New Roman" w:cs="Times New Roman"/>
          <w:sz w:val="24"/>
          <w:szCs w:val="24"/>
          <w:lang w:eastAsia="fr-FR"/>
        </w:rPr>
        <w:t xml:space="preserve">classeur </w:t>
      </w:r>
      <w:r w:rsidRPr="00E51338">
        <w:rPr>
          <w:rFonts w:ascii="Times New Roman" w:eastAsia="Times New Roman" w:hAnsi="Times New Roman" w:cs="Times New Roman"/>
          <w:sz w:val="24"/>
          <w:szCs w:val="24"/>
          <w:lang w:eastAsia="fr-FR"/>
        </w:rPr>
        <w:t xml:space="preserve">fasc. 130-15, </w:t>
      </w:r>
    </w:p>
    <w:p w:rsidR="00B010F5" w:rsidRDefault="00B010F5" w:rsidP="00B010F5">
      <w:pPr>
        <w:numPr>
          <w:ilvl w:val="0"/>
          <w:numId w:val="21"/>
        </w:numPr>
        <w:spacing w:after="240" w:line="240" w:lineRule="auto"/>
        <w:jc w:val="both"/>
        <w:rPr>
          <w:rFonts w:ascii="Times New Roman" w:eastAsia="Times New Roman" w:hAnsi="Times New Roman" w:cs="Times New Roman"/>
          <w:sz w:val="24"/>
          <w:szCs w:val="24"/>
          <w:lang w:val="en-GB" w:eastAsia="fr-FR"/>
        </w:rPr>
      </w:pPr>
      <w:r w:rsidRPr="00101838">
        <w:rPr>
          <w:rFonts w:ascii="Times New Roman" w:eastAsia="Times New Roman" w:hAnsi="Times New Roman" w:cs="Times New Roman"/>
          <w:caps/>
          <w:sz w:val="24"/>
          <w:szCs w:val="24"/>
          <w:lang w:val="en-GB" w:eastAsia="fr-FR"/>
        </w:rPr>
        <w:t>G. Shaffer</w:t>
      </w:r>
      <w:r w:rsidRPr="00101838">
        <w:rPr>
          <w:rFonts w:ascii="Times New Roman" w:eastAsia="Times New Roman" w:hAnsi="Times New Roman" w:cs="Times New Roman"/>
          <w:sz w:val="24"/>
          <w:szCs w:val="24"/>
          <w:lang w:val="en-GB" w:eastAsia="fr-FR"/>
        </w:rPr>
        <w:t xml:space="preserve">, </w:t>
      </w:r>
      <w:hyperlink r:id="rId18" w:history="1">
        <w:r w:rsidRPr="000A2504">
          <w:rPr>
            <w:rStyle w:val="Lienhypertexte"/>
            <w:rFonts w:ascii="Times New Roman" w:eastAsia="Times New Roman" w:hAnsi="Times New Roman" w:cs="Times New Roman"/>
            <w:sz w:val="24"/>
            <w:szCs w:val="24"/>
            <w:lang w:val="en-GB" w:eastAsia="fr-FR"/>
          </w:rPr>
          <w:t>Retooling Trade Agreements for Social Inclusion</w:t>
        </w:r>
      </w:hyperlink>
      <w:r w:rsidRPr="00101838">
        <w:rPr>
          <w:rFonts w:ascii="Times New Roman" w:eastAsia="Times New Roman" w:hAnsi="Times New Roman" w:cs="Times New Roman"/>
          <w:sz w:val="24"/>
          <w:szCs w:val="24"/>
          <w:lang w:val="en-GB" w:eastAsia="fr-FR"/>
        </w:rPr>
        <w:t>, Legal Studies Research Paper Series n° 2018-54</w:t>
      </w:r>
    </w:p>
    <w:p w:rsidR="00B010F5" w:rsidRPr="00E51338" w:rsidRDefault="00B010F5" w:rsidP="00B010F5">
      <w:pPr>
        <w:numPr>
          <w:ilvl w:val="0"/>
          <w:numId w:val="21"/>
        </w:numPr>
        <w:spacing w:after="240" w:line="240" w:lineRule="auto"/>
        <w:jc w:val="both"/>
        <w:rPr>
          <w:rFonts w:ascii="Times New Roman" w:eastAsia="Times New Roman" w:hAnsi="Times New Roman" w:cs="Times New Roman"/>
          <w:sz w:val="24"/>
          <w:szCs w:val="24"/>
          <w:lang w:eastAsia="fr-FR"/>
        </w:rPr>
      </w:pPr>
      <w:r w:rsidRPr="00E51338">
        <w:rPr>
          <w:rFonts w:ascii="Times New Roman" w:eastAsia="Times New Roman" w:hAnsi="Times New Roman" w:cs="Times New Roman"/>
          <w:sz w:val="24"/>
          <w:szCs w:val="24"/>
          <w:lang w:eastAsia="fr-FR"/>
        </w:rPr>
        <w:t xml:space="preserve">P. VAN DEN BOSSHE et G. MARCEAU, « Le système de règlement des différends de l’OMC », </w:t>
      </w:r>
      <w:r w:rsidRPr="00E51338">
        <w:rPr>
          <w:rFonts w:ascii="Times New Roman" w:eastAsia="Times New Roman" w:hAnsi="Times New Roman" w:cs="Times New Roman"/>
          <w:i/>
          <w:sz w:val="24"/>
          <w:szCs w:val="24"/>
          <w:lang w:eastAsia="fr-FR"/>
        </w:rPr>
        <w:t>Revue du Marché Unique Européen,</w:t>
      </w:r>
      <w:r w:rsidRPr="00E51338">
        <w:rPr>
          <w:rFonts w:ascii="Times New Roman" w:eastAsia="Times New Roman" w:hAnsi="Times New Roman" w:cs="Times New Roman"/>
          <w:sz w:val="24"/>
          <w:szCs w:val="24"/>
          <w:lang w:eastAsia="fr-FR"/>
        </w:rPr>
        <w:t xml:space="preserve"> 1998, pp 29-69.</w:t>
      </w:r>
    </w:p>
    <w:p w:rsidR="00B010F5" w:rsidRPr="00C37C72" w:rsidRDefault="00B010F5" w:rsidP="00B010F5">
      <w:pPr>
        <w:numPr>
          <w:ilvl w:val="0"/>
          <w:numId w:val="2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PH. VINCENT, « Institutions économiques internationales », éd. Larcier, Bruxelles, 2013.</w:t>
      </w:r>
    </w:p>
    <w:p w:rsidR="00B010F5" w:rsidRPr="00C37C72" w:rsidRDefault="00B010F5" w:rsidP="00B010F5">
      <w:pPr>
        <w:numPr>
          <w:ilvl w:val="0"/>
          <w:numId w:val="2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PH. VINCENT,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et les pays en développement », éd. Larcier, Bruxelles 2010.</w:t>
      </w:r>
    </w:p>
    <w:p w:rsidR="00B010F5" w:rsidRPr="00C37C72" w:rsidRDefault="00B010F5" w:rsidP="00B010F5">
      <w:pPr>
        <w:numPr>
          <w:ilvl w:val="0"/>
          <w:numId w:val="17"/>
        </w:numPr>
        <w:spacing w:after="240" w:line="240" w:lineRule="auto"/>
        <w:jc w:val="both"/>
        <w:rPr>
          <w:rFonts w:ascii="Times New Roman" w:eastAsia="Times New Roman" w:hAnsi="Times New Roman" w:cs="Times New Roman"/>
          <w:sz w:val="24"/>
          <w:szCs w:val="24"/>
          <w:lang w:val="en-GB" w:eastAsia="fr-FR"/>
        </w:rPr>
      </w:pPr>
      <w:r w:rsidRPr="00C37C72">
        <w:rPr>
          <w:rFonts w:ascii="Times New Roman" w:eastAsia="Times New Roman" w:hAnsi="Times New Roman" w:cs="Times New Roman"/>
          <w:sz w:val="24"/>
          <w:szCs w:val="24"/>
          <w:lang w:val="en-GB" w:eastAsia="fr-FR"/>
        </w:rPr>
        <w:t>Jean Monnet Symposium, « Fundamental principles as inspiration and as source of law in the systems of the European Union and the WTO », European Commission, Bruxelles, 21/22 octobre 1999.</w:t>
      </w:r>
    </w:p>
    <w:p w:rsidR="00B010F5" w:rsidRPr="00C37C72" w:rsidRDefault="00B010F5" w:rsidP="00B010F5">
      <w:pPr>
        <w:numPr>
          <w:ilvl w:val="0"/>
          <w:numId w:val="17"/>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G. SACERDOTI, “Structure et fonction du système de règlement des différends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les enseignements des dix premières années”, R.G.D.I.P., n°4, 2006.</w:t>
      </w:r>
    </w:p>
    <w:p w:rsidR="00B010F5" w:rsidRPr="00C37C72" w:rsidRDefault="00B010F5" w:rsidP="00B010F5">
      <w:pPr>
        <w:numPr>
          <w:ilvl w:val="0"/>
          <w:numId w:val="17"/>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M.M. SALAH, «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irruption des droits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homme dans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ordre économique international : mythe ou réalité ? », LGDJ, 2012.</w:t>
      </w:r>
    </w:p>
    <w:p w:rsidR="00B010F5" w:rsidRDefault="00B010F5" w:rsidP="00B010F5">
      <w:pPr>
        <w:numPr>
          <w:ilvl w:val="0"/>
          <w:numId w:val="17"/>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F. SCHMIED, « Les effets des accords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OMC dans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ordre juridique de l</w:t>
      </w:r>
      <w:r>
        <w:rPr>
          <w:rFonts w:ascii="Times New Roman" w:eastAsia="Times New Roman" w:hAnsi="Times New Roman" w:cs="Times New Roman"/>
          <w:sz w:val="24"/>
          <w:szCs w:val="24"/>
          <w:lang w:eastAsia="fr-FR"/>
        </w:rPr>
        <w:t>’</w:t>
      </w:r>
      <w:r w:rsidRPr="00C37C72">
        <w:rPr>
          <w:rFonts w:ascii="Times New Roman" w:eastAsia="Times New Roman" w:hAnsi="Times New Roman" w:cs="Times New Roman"/>
          <w:sz w:val="24"/>
          <w:szCs w:val="24"/>
          <w:lang w:eastAsia="fr-FR"/>
        </w:rPr>
        <w:t>UE et de ses Etats membres », Fondation Varenne, Paris, 2012.</w:t>
      </w:r>
    </w:p>
    <w:p w:rsidR="00B010F5" w:rsidRPr="00C37C72" w:rsidRDefault="00B010F5" w:rsidP="00B010F5">
      <w:pPr>
        <w:numPr>
          <w:ilvl w:val="0"/>
          <w:numId w:val="17"/>
        </w:numPr>
        <w:spacing w:after="24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B. </w:t>
      </w:r>
      <w:r w:rsidRPr="00523B73">
        <w:rPr>
          <w:rFonts w:ascii="Times New Roman" w:eastAsia="Times New Roman" w:hAnsi="Times New Roman" w:cs="Times New Roman"/>
          <w:sz w:val="24"/>
          <w:szCs w:val="24"/>
          <w:lang w:eastAsia="fr-FR"/>
        </w:rPr>
        <w:t>Wilfert</w:t>
      </w:r>
      <w:r>
        <w:rPr>
          <w:rFonts w:ascii="Times New Roman" w:eastAsia="Times New Roman" w:hAnsi="Times New Roman" w:cs="Times New Roman"/>
          <w:sz w:val="24"/>
          <w:szCs w:val="24"/>
          <w:lang w:eastAsia="fr-FR"/>
        </w:rPr>
        <w:t xml:space="preserve">, « Coronavirus : La mondialisation n’est pas la cause mais le remède », Policy Paper, Fondation R. Schuman, Question d’Europe n° 556 , 27/04/2020, disponible à l’adresse : </w:t>
      </w:r>
      <w:r w:rsidRPr="00523B73">
        <w:rPr>
          <w:rFonts w:ascii="Times New Roman" w:eastAsia="Times New Roman" w:hAnsi="Times New Roman" w:cs="Times New Roman"/>
          <w:sz w:val="24"/>
          <w:szCs w:val="24"/>
          <w:lang w:eastAsia="fr-FR"/>
        </w:rPr>
        <w:t>https://www.robert-schuman.eu/fr/questions-d-europe/0556-coronavirus-la-mondialisation-n-est-pas-la-cause-mais-le-remede</w:t>
      </w:r>
    </w:p>
    <w:p w:rsidR="00B010F5" w:rsidRPr="00C37C72" w:rsidRDefault="00B010F5" w:rsidP="00B010F5">
      <w:pPr>
        <w:numPr>
          <w:ilvl w:val="0"/>
          <w:numId w:val="21"/>
        </w:numPr>
        <w:spacing w:after="240" w:line="240" w:lineRule="auto"/>
        <w:jc w:val="both"/>
        <w:rPr>
          <w:rFonts w:ascii="Times New Roman" w:eastAsia="Times New Roman" w:hAnsi="Times New Roman" w:cs="Times New Roman"/>
          <w:sz w:val="24"/>
          <w:szCs w:val="24"/>
          <w:lang w:eastAsia="fr-FR"/>
        </w:rPr>
      </w:pPr>
      <w:r w:rsidRPr="00C37C72">
        <w:rPr>
          <w:rFonts w:ascii="Times New Roman" w:eastAsia="Times New Roman" w:hAnsi="Times New Roman" w:cs="Times New Roman"/>
          <w:sz w:val="24"/>
          <w:szCs w:val="24"/>
          <w:lang w:eastAsia="fr-FR"/>
        </w:rPr>
        <w:t>S.F.D.I. (Colloque de Nice) : « La réorganisation mondiale des éch</w:t>
      </w:r>
      <w:r>
        <w:rPr>
          <w:rFonts w:ascii="Times New Roman" w:eastAsia="Times New Roman" w:hAnsi="Times New Roman" w:cs="Times New Roman"/>
          <w:sz w:val="24"/>
          <w:szCs w:val="24"/>
          <w:lang w:eastAsia="fr-FR"/>
        </w:rPr>
        <w:t>anges », P</w:t>
      </w:r>
      <w:r w:rsidRPr="00C37C72">
        <w:rPr>
          <w:rFonts w:ascii="Times New Roman" w:eastAsia="Times New Roman" w:hAnsi="Times New Roman" w:cs="Times New Roman"/>
          <w:sz w:val="24"/>
          <w:szCs w:val="24"/>
          <w:lang w:eastAsia="fr-FR"/>
        </w:rPr>
        <w:t>édone, 1995.</w:t>
      </w:r>
    </w:p>
    <w:p w:rsidR="00B010F5" w:rsidRPr="00B010F5" w:rsidRDefault="00B010F5" w:rsidP="00031858">
      <w:pPr>
        <w:tabs>
          <w:tab w:val="left" w:pos="1095"/>
        </w:tabs>
        <w:rPr>
          <w:rFonts w:ascii="Book Antiqua" w:hAnsi="Book Antiqua"/>
          <w:smallCaps/>
          <w:sz w:val="23"/>
          <w:szCs w:val="23"/>
        </w:rPr>
      </w:pPr>
    </w:p>
    <w:p w:rsidR="00031858" w:rsidRPr="006C0D20" w:rsidRDefault="00031858" w:rsidP="00031858">
      <w:pPr>
        <w:tabs>
          <w:tab w:val="left" w:pos="1095"/>
        </w:tabs>
        <w:rPr>
          <w:rFonts w:ascii="Book Antiqua" w:hAnsi="Book Antiqua"/>
          <w:sz w:val="23"/>
          <w:szCs w:val="23"/>
        </w:rPr>
      </w:pPr>
    </w:p>
    <w:sectPr w:rsidR="00031858" w:rsidRPr="006C0D20">
      <w:footerReference w:type="default" r:id="rId1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7E8D" w:rsidRDefault="004E7E8D" w:rsidP="004E7E8D">
      <w:pPr>
        <w:spacing w:after="0" w:line="240" w:lineRule="auto"/>
      </w:pPr>
      <w:r>
        <w:separator/>
      </w:r>
    </w:p>
  </w:endnote>
  <w:endnote w:type="continuationSeparator" w:id="0">
    <w:p w:rsidR="004E7E8D" w:rsidRDefault="004E7E8D" w:rsidP="004E7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roman"/>
    <w:notTrueType/>
    <w:pitch w:val="fixed"/>
    <w:sig w:usb0="00000000"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98041504"/>
      <w:docPartObj>
        <w:docPartGallery w:val="Page Numbers (Bottom of Page)"/>
        <w:docPartUnique/>
      </w:docPartObj>
    </w:sdtPr>
    <w:sdtEndPr/>
    <w:sdtContent>
      <w:p w:rsidR="004E7E8D" w:rsidRDefault="004E7E8D">
        <w:pPr>
          <w:pStyle w:val="Pieddepage"/>
          <w:jc w:val="center"/>
        </w:pPr>
        <w:r>
          <w:fldChar w:fldCharType="begin"/>
        </w:r>
        <w:r>
          <w:instrText>PAGE   \* MERGEFORMAT</w:instrText>
        </w:r>
        <w:r>
          <w:fldChar w:fldCharType="separate"/>
        </w:r>
        <w:r w:rsidR="00830E81">
          <w:rPr>
            <w:noProof/>
          </w:rPr>
          <w:t>2</w:t>
        </w:r>
        <w:r>
          <w:fldChar w:fldCharType="end"/>
        </w:r>
      </w:p>
    </w:sdtContent>
  </w:sdt>
  <w:p w:rsidR="004E7E8D" w:rsidRDefault="004E7E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7E8D" w:rsidRDefault="004E7E8D" w:rsidP="004E7E8D">
      <w:pPr>
        <w:spacing w:after="0" w:line="240" w:lineRule="auto"/>
      </w:pPr>
      <w:r>
        <w:separator/>
      </w:r>
    </w:p>
  </w:footnote>
  <w:footnote w:type="continuationSeparator" w:id="0">
    <w:p w:rsidR="004E7E8D" w:rsidRDefault="004E7E8D" w:rsidP="004E7E8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pPr>
        <w:ind w:left="0" w:firstLine="0"/>
      </w:pPr>
    </w:lvl>
  </w:abstractNum>
  <w:abstractNum w:abstractNumId="1" w15:restartNumberingAfterBreak="0">
    <w:nsid w:val="0195504C"/>
    <w:multiLevelType w:val="hybridMultilevel"/>
    <w:tmpl w:val="87F2ED88"/>
    <w:lvl w:ilvl="0" w:tplc="9A74C3C2">
      <w:start w:val="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71AE71F9"/>
    <w:multiLevelType w:val="hybridMultilevel"/>
    <w:tmpl w:val="E8107464"/>
    <w:lvl w:ilvl="0" w:tplc="EDFC700C">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7A612D07"/>
    <w:multiLevelType w:val="hybridMultilevel"/>
    <w:tmpl w:val="38C89DD0"/>
    <w:lvl w:ilvl="0" w:tplc="450A0AF2">
      <w:numFmt w:val="bullet"/>
      <w:lvlText w:val="-"/>
      <w:lvlJc w:val="left"/>
      <w:pPr>
        <w:ind w:left="720" w:hanging="360"/>
      </w:pPr>
      <w:rPr>
        <w:rFonts w:ascii="Book Antiqua" w:eastAsiaTheme="minorHAnsi" w:hAnsi="Book Antiqu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C273D98"/>
    <w:multiLevelType w:val="singleLevel"/>
    <w:tmpl w:val="FFFFFFFF"/>
    <w:lvl w:ilvl="0">
      <w:start w:val="1"/>
      <w:numFmt w:val="bullet"/>
      <w:lvlText w:val=""/>
      <w:legacy w:legacy="1" w:legacySpace="0" w:legacyIndent="426"/>
      <w:lvlJc w:val="left"/>
      <w:pPr>
        <w:ind w:left="426" w:hanging="426"/>
      </w:pPr>
      <w:rPr>
        <w:rFonts w:ascii="Wingdings" w:hAnsi="Wingdings" w:hint="default"/>
      </w:rPr>
    </w:lvl>
  </w:abstractNum>
  <w:num w:numId="1">
    <w:abstractNumId w:val="3"/>
  </w:num>
  <w:num w:numId="2">
    <w:abstractNumId w:val="1"/>
  </w:num>
  <w:num w:numId="3">
    <w:abstractNumId w:val="0"/>
    <w:lvlOverride w:ilvl="0">
      <w:lvl w:ilvl="0">
        <w:numFmt w:val="bullet"/>
        <w:lvlText w:val=""/>
        <w:legacy w:legacy="1" w:legacySpace="0" w:legacyIndent="426"/>
        <w:lvlJc w:val="left"/>
        <w:pPr>
          <w:ind w:left="426" w:hanging="426"/>
        </w:pPr>
        <w:rPr>
          <w:rFonts w:ascii="Wingdings" w:hAnsi="Wingdings" w:hint="default"/>
        </w:rPr>
      </w:lvl>
    </w:lvlOverride>
  </w:num>
  <w:num w:numId="4">
    <w:abstractNumId w:val="0"/>
    <w:lvlOverride w:ilvl="0">
      <w:lvl w:ilvl="0">
        <w:numFmt w:val="bullet"/>
        <w:lvlText w:val=""/>
        <w:legacy w:legacy="1" w:legacySpace="0" w:legacyIndent="426"/>
        <w:lvlJc w:val="left"/>
        <w:pPr>
          <w:ind w:left="426" w:hanging="426"/>
        </w:pPr>
        <w:rPr>
          <w:rFonts w:ascii="Wingdings" w:hAnsi="Wingdings" w:hint="default"/>
        </w:rPr>
      </w:lvl>
    </w:lvlOverride>
  </w:num>
  <w:num w:numId="5">
    <w:abstractNumId w:val="0"/>
    <w:lvlOverride w:ilvl="0">
      <w:lvl w:ilvl="0">
        <w:numFmt w:val="bullet"/>
        <w:lvlText w:val=""/>
        <w:legacy w:legacy="1" w:legacySpace="0" w:legacyIndent="426"/>
        <w:lvlJc w:val="left"/>
        <w:pPr>
          <w:ind w:left="426" w:hanging="426"/>
        </w:pPr>
        <w:rPr>
          <w:rFonts w:ascii="Wingdings" w:hAnsi="Wingdings" w:hint="default"/>
        </w:rPr>
      </w:lvl>
    </w:lvlOverride>
  </w:num>
  <w:num w:numId="6">
    <w:abstractNumId w:val="4"/>
  </w:num>
  <w:num w:numId="7">
    <w:abstractNumId w:val="0"/>
    <w:lvlOverride w:ilvl="0">
      <w:lvl w:ilvl="0">
        <w:numFmt w:val="bullet"/>
        <w:lvlText w:val=""/>
        <w:legacy w:legacy="1" w:legacySpace="0" w:legacyIndent="426"/>
        <w:lvlJc w:val="left"/>
        <w:pPr>
          <w:ind w:left="426" w:hanging="426"/>
        </w:pPr>
        <w:rPr>
          <w:rFonts w:ascii="Wingdings" w:hAnsi="Wingdings" w:hint="default"/>
        </w:rPr>
      </w:lvl>
    </w:lvlOverride>
  </w:num>
  <w:num w:numId="8">
    <w:abstractNumId w:val="0"/>
    <w:lvlOverride w:ilvl="0">
      <w:lvl w:ilvl="0">
        <w:numFmt w:val="bullet"/>
        <w:lvlText w:val=""/>
        <w:legacy w:legacy="1" w:legacySpace="0" w:legacyIndent="426"/>
        <w:lvlJc w:val="left"/>
        <w:pPr>
          <w:ind w:left="426" w:hanging="426"/>
        </w:pPr>
        <w:rPr>
          <w:rFonts w:ascii="Wingdings" w:hAnsi="Wingdings" w:hint="default"/>
        </w:rPr>
      </w:lvl>
    </w:lvlOverride>
  </w:num>
  <w:num w:numId="9">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0">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1">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2">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3">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4">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5">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6">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7">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8">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19">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20">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21">
    <w:abstractNumId w:val="0"/>
    <w:lvlOverride w:ilvl="0">
      <w:lvl w:ilvl="0">
        <w:numFmt w:val="bullet"/>
        <w:lvlText w:val=""/>
        <w:legacy w:legacy="1" w:legacySpace="0" w:legacyIndent="426"/>
        <w:lvlJc w:val="left"/>
        <w:pPr>
          <w:ind w:left="427" w:hanging="426"/>
        </w:pPr>
        <w:rPr>
          <w:rFonts w:ascii="Wingdings" w:hAnsi="Wingdings" w:hint="default"/>
        </w:rPr>
      </w:lvl>
    </w:lvlOverride>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D20"/>
    <w:rsid w:val="00031858"/>
    <w:rsid w:val="000A2504"/>
    <w:rsid w:val="000B3F99"/>
    <w:rsid w:val="00117856"/>
    <w:rsid w:val="002C1C29"/>
    <w:rsid w:val="003951C0"/>
    <w:rsid w:val="003C69A6"/>
    <w:rsid w:val="004E7E8D"/>
    <w:rsid w:val="0057732A"/>
    <w:rsid w:val="006C0D20"/>
    <w:rsid w:val="00700202"/>
    <w:rsid w:val="00736FE9"/>
    <w:rsid w:val="00762ADF"/>
    <w:rsid w:val="0077474B"/>
    <w:rsid w:val="007D2B3B"/>
    <w:rsid w:val="00830E81"/>
    <w:rsid w:val="008D0756"/>
    <w:rsid w:val="00916094"/>
    <w:rsid w:val="009337C9"/>
    <w:rsid w:val="009F46D7"/>
    <w:rsid w:val="00A35127"/>
    <w:rsid w:val="00A805D8"/>
    <w:rsid w:val="00A87067"/>
    <w:rsid w:val="00B010F5"/>
    <w:rsid w:val="00B138A0"/>
    <w:rsid w:val="00C03837"/>
    <w:rsid w:val="00C6433E"/>
    <w:rsid w:val="00CA6CAC"/>
    <w:rsid w:val="00DB0F69"/>
    <w:rsid w:val="00DB630A"/>
    <w:rsid w:val="00E07178"/>
    <w:rsid w:val="00E14969"/>
    <w:rsid w:val="00E53A6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D25C77-0355-45D9-9B92-FE403AC7B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6C0D20"/>
    <w:pPr>
      <w:ind w:left="720"/>
      <w:contextualSpacing/>
    </w:pPr>
  </w:style>
  <w:style w:type="character" w:styleId="Lienhypertexte">
    <w:name w:val="Hyperlink"/>
    <w:basedOn w:val="Policepardfaut"/>
    <w:uiPriority w:val="99"/>
    <w:unhideWhenUsed/>
    <w:rsid w:val="00B010F5"/>
    <w:rPr>
      <w:color w:val="0000FF" w:themeColor="hyperlink"/>
      <w:u w:val="single"/>
    </w:rPr>
  </w:style>
  <w:style w:type="paragraph" w:styleId="En-tte">
    <w:name w:val="header"/>
    <w:basedOn w:val="Normal"/>
    <w:link w:val="En-tteCar"/>
    <w:uiPriority w:val="99"/>
    <w:unhideWhenUsed/>
    <w:rsid w:val="004E7E8D"/>
    <w:pPr>
      <w:tabs>
        <w:tab w:val="center" w:pos="4536"/>
        <w:tab w:val="right" w:pos="9072"/>
      </w:tabs>
      <w:spacing w:after="0" w:line="240" w:lineRule="auto"/>
    </w:pPr>
  </w:style>
  <w:style w:type="character" w:customStyle="1" w:styleId="En-tteCar">
    <w:name w:val="En-tête Car"/>
    <w:basedOn w:val="Policepardfaut"/>
    <w:link w:val="En-tte"/>
    <w:uiPriority w:val="99"/>
    <w:rsid w:val="004E7E8D"/>
  </w:style>
  <w:style w:type="paragraph" w:styleId="Pieddepage">
    <w:name w:val="footer"/>
    <w:basedOn w:val="Normal"/>
    <w:link w:val="PieddepageCar"/>
    <w:uiPriority w:val="99"/>
    <w:unhideWhenUsed/>
    <w:rsid w:val="004E7E8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E7E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to.org/french/docs_f/legal_f/legal_f.htm" TargetMode="External"/><Relationship Id="rId13" Type="http://schemas.openxmlformats.org/officeDocument/2006/relationships/hyperlink" Target="https://www.robert-schuman.eu/fr/questions-d-europe/0554-l-union-europeenne-et-son-modele-de-regulation-des-relations-commerciales-internationales" TargetMode="External"/><Relationship Id="rId18" Type="http://schemas.openxmlformats.org/officeDocument/2006/relationships/hyperlink" Target="https://papers.ssrn.com/sol3/papers.cfm?abstract_id=3217392"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wto.org/french/res_f/booksp_f/tariff_profiles20_f.pdf" TargetMode="External"/><Relationship Id="rId17" Type="http://schemas.openxmlformats.org/officeDocument/2006/relationships/hyperlink" Target="https://papers.ssrn.com/sol3/papers.cfm?abstract_id=3353426" TargetMode="External"/><Relationship Id="rId2" Type="http://schemas.openxmlformats.org/officeDocument/2006/relationships/numbering" Target="numbering.xml"/><Relationship Id="rId16" Type="http://schemas.openxmlformats.org/officeDocument/2006/relationships/hyperlink" Target="http://dx.doi.org/10.2139/ssrn.202687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to.org/french/res_f/reser_f/wtr_f.htm" TargetMode="External"/><Relationship Id="rId5" Type="http://schemas.openxmlformats.org/officeDocument/2006/relationships/webSettings" Target="webSettings.xml"/><Relationship Id="rId15" Type="http://schemas.openxmlformats.org/officeDocument/2006/relationships/hyperlink" Target="https://ssrn.com/abstract=3579965" TargetMode="External"/><Relationship Id="rId10" Type="http://schemas.openxmlformats.org/officeDocument/2006/relationships/hyperlink" Target="https://rcepsec.org/legal-text/"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ustr.gov/trade-agreements/free-trade-agreements" TargetMode="External"/><Relationship Id="rId14" Type="http://schemas.openxmlformats.org/officeDocument/2006/relationships/hyperlink" Target="https://www.cambridge.org/core/books/artificial-intelligence-and-international-economic-law/data-protection-and-artificial-intelligence/B98076D59C2B75892D58CC11518E2217"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9C210F-9271-4CE9-BEC8-81EBBDB85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4079</Words>
  <Characters>22437</Characters>
  <Application>Microsoft Office Word</Application>
  <DocSecurity>0</DocSecurity>
  <Lines>186</Lines>
  <Paragraphs>52</Paragraphs>
  <ScaleCrop>false</ScaleCrop>
  <HeadingPairs>
    <vt:vector size="2" baseType="variant">
      <vt:variant>
        <vt:lpstr>Titre</vt:lpstr>
      </vt:variant>
      <vt:variant>
        <vt:i4>1</vt:i4>
      </vt:variant>
    </vt:vector>
  </HeadingPairs>
  <TitlesOfParts>
    <vt:vector size="1" baseType="lpstr">
      <vt:lpstr/>
    </vt:vector>
  </TitlesOfParts>
  <Company>SciencesPo Rennes</Company>
  <LinksUpToDate>false</LinksUpToDate>
  <CharactersWithSpaces>26464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Alan Herve</dc:creator>
  <cp:lastModifiedBy>Prepare</cp:lastModifiedBy>
  <cp:revision>2</cp:revision>
  <dcterms:created xsi:type="dcterms:W3CDTF">2023-05-03T15:06:00Z</dcterms:created>
  <dcterms:modified xsi:type="dcterms:W3CDTF">2023-05-03T15:06:00Z</dcterms:modified>
</cp:coreProperties>
</file>