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F742F" w14:textId="77777777" w:rsidR="00B75707" w:rsidRDefault="00B75707" w:rsidP="00750181">
      <w:pPr>
        <w:jc w:val="center"/>
        <w:rPr>
          <w:rFonts w:ascii="Times" w:hAnsi="Times"/>
          <w:b/>
        </w:rPr>
      </w:pPr>
      <w:bookmarkStart w:id="0" w:name="_GoBack"/>
      <w:bookmarkEnd w:id="0"/>
    </w:p>
    <w:p w14:paraId="38619F1D" w14:textId="77777777" w:rsidR="00B75707" w:rsidRDefault="00B75707" w:rsidP="00750181">
      <w:pPr>
        <w:jc w:val="center"/>
        <w:rPr>
          <w:rFonts w:ascii="Times" w:hAnsi="Times"/>
          <w:b/>
        </w:rPr>
      </w:pPr>
    </w:p>
    <w:p w14:paraId="426F5197" w14:textId="0E88FD14" w:rsidR="00750181" w:rsidRPr="00382010" w:rsidRDefault="00750181" w:rsidP="00750181">
      <w:pPr>
        <w:jc w:val="center"/>
        <w:rPr>
          <w:rFonts w:ascii="Times" w:hAnsi="Times"/>
          <w:b/>
        </w:rPr>
      </w:pPr>
      <w:r w:rsidRPr="00382010">
        <w:rPr>
          <w:rFonts w:ascii="Times" w:hAnsi="Times"/>
          <w:b/>
        </w:rPr>
        <w:t>Histoire des relations internationales au XX</w:t>
      </w:r>
      <w:r w:rsidRPr="00382010">
        <w:rPr>
          <w:rFonts w:ascii="Times" w:hAnsi="Times"/>
          <w:b/>
          <w:vertAlign w:val="superscript"/>
        </w:rPr>
        <w:t>e</w:t>
      </w:r>
      <w:r w:rsidRPr="00382010">
        <w:rPr>
          <w:rFonts w:ascii="Times" w:hAnsi="Times"/>
          <w:b/>
        </w:rPr>
        <w:t xml:space="preserve"> siècle</w:t>
      </w:r>
    </w:p>
    <w:p w14:paraId="4399F482" w14:textId="77777777" w:rsidR="00750181" w:rsidRDefault="00750181" w:rsidP="00750181">
      <w:pPr>
        <w:rPr>
          <w:rFonts w:ascii="Times" w:hAnsi="Times"/>
          <w:sz w:val="22"/>
          <w:szCs w:val="22"/>
        </w:rPr>
      </w:pPr>
    </w:p>
    <w:p w14:paraId="0445F33A" w14:textId="77777777" w:rsidR="00750181" w:rsidRPr="00382010" w:rsidRDefault="00750181" w:rsidP="00750181">
      <w:pPr>
        <w:rPr>
          <w:rFonts w:ascii="Times" w:hAnsi="Times"/>
          <w:sz w:val="22"/>
          <w:szCs w:val="22"/>
        </w:rPr>
      </w:pPr>
    </w:p>
    <w:p w14:paraId="0A909CF0" w14:textId="77777777" w:rsidR="00750181" w:rsidRPr="00382010" w:rsidRDefault="00750181" w:rsidP="00750181">
      <w:pPr>
        <w:jc w:val="center"/>
        <w:rPr>
          <w:rFonts w:ascii="Times" w:hAnsi="Times"/>
          <w:sz w:val="22"/>
          <w:szCs w:val="22"/>
        </w:rPr>
      </w:pPr>
      <w:r w:rsidRPr="00382010">
        <w:rPr>
          <w:rFonts w:ascii="Times" w:hAnsi="Times"/>
          <w:sz w:val="22"/>
          <w:szCs w:val="22"/>
        </w:rPr>
        <w:t>Le XX</w:t>
      </w:r>
      <w:r w:rsidRPr="00382010">
        <w:rPr>
          <w:rFonts w:ascii="Times" w:hAnsi="Times"/>
          <w:sz w:val="22"/>
          <w:szCs w:val="22"/>
          <w:vertAlign w:val="superscript"/>
        </w:rPr>
        <w:t>e</w:t>
      </w:r>
      <w:r w:rsidRPr="00382010">
        <w:rPr>
          <w:rFonts w:ascii="Times" w:hAnsi="Times"/>
          <w:sz w:val="22"/>
          <w:szCs w:val="22"/>
        </w:rPr>
        <w:t xml:space="preserve"> siècle : âge d’or des relations internationales</w:t>
      </w:r>
    </w:p>
    <w:p w14:paraId="68E164BF" w14:textId="77777777" w:rsidR="00750181" w:rsidRPr="00382010" w:rsidRDefault="00750181" w:rsidP="00750181">
      <w:pPr>
        <w:jc w:val="center"/>
        <w:rPr>
          <w:rFonts w:ascii="Times" w:hAnsi="Times"/>
          <w:b/>
          <w:sz w:val="22"/>
          <w:szCs w:val="22"/>
        </w:rPr>
      </w:pPr>
    </w:p>
    <w:p w14:paraId="29E2F11E" w14:textId="77777777" w:rsidR="00750181" w:rsidRPr="00382010" w:rsidRDefault="00750181" w:rsidP="00750181">
      <w:pPr>
        <w:jc w:val="both"/>
        <w:rPr>
          <w:rFonts w:ascii="Times" w:hAnsi="Times"/>
          <w:sz w:val="22"/>
          <w:szCs w:val="22"/>
        </w:rPr>
      </w:pPr>
    </w:p>
    <w:p w14:paraId="0248DDCD" w14:textId="6D3A27BC" w:rsidR="00750181" w:rsidRPr="00382010" w:rsidRDefault="00750181" w:rsidP="00750181">
      <w:pPr>
        <w:jc w:val="both"/>
        <w:rPr>
          <w:rFonts w:ascii="Times" w:hAnsi="Times"/>
          <w:sz w:val="22"/>
          <w:szCs w:val="22"/>
        </w:rPr>
      </w:pPr>
      <w:r w:rsidRPr="00382010">
        <w:rPr>
          <w:rFonts w:ascii="Times" w:hAnsi="Times"/>
          <w:sz w:val="22"/>
          <w:szCs w:val="22"/>
        </w:rPr>
        <w:t>Siècle des « extrêmes » et des « ténèbres », mais aussi de l’apparition d’un ordre global, de réinvention des équilibres à l’échelle planétaire, le XX</w:t>
      </w:r>
      <w:r w:rsidRPr="00382010">
        <w:rPr>
          <w:rFonts w:ascii="Times" w:hAnsi="Times"/>
          <w:sz w:val="22"/>
          <w:szCs w:val="22"/>
          <w:vertAlign w:val="superscript"/>
        </w:rPr>
        <w:t>e</w:t>
      </w:r>
      <w:r w:rsidRPr="00382010">
        <w:rPr>
          <w:rFonts w:ascii="Times" w:hAnsi="Times"/>
          <w:sz w:val="22"/>
          <w:szCs w:val="22"/>
        </w:rPr>
        <w:t xml:space="preserve"> siècle apparaît dans l’histoire </w:t>
      </w:r>
      <w:r>
        <w:rPr>
          <w:rFonts w:ascii="Times" w:hAnsi="Times"/>
          <w:sz w:val="22"/>
          <w:szCs w:val="22"/>
        </w:rPr>
        <w:t xml:space="preserve">comme un </w:t>
      </w:r>
      <w:r w:rsidRPr="00382010">
        <w:rPr>
          <w:rFonts w:ascii="Times" w:hAnsi="Times"/>
          <w:sz w:val="22"/>
          <w:szCs w:val="22"/>
        </w:rPr>
        <w:t xml:space="preserve">âge d’or des relations internationales. Accompagnant l’accélération </w:t>
      </w:r>
      <w:r>
        <w:rPr>
          <w:rFonts w:ascii="Times" w:hAnsi="Times"/>
          <w:sz w:val="22"/>
          <w:szCs w:val="22"/>
        </w:rPr>
        <w:t>de la</w:t>
      </w:r>
      <w:r w:rsidRPr="00382010">
        <w:rPr>
          <w:rFonts w:ascii="Times" w:hAnsi="Times"/>
          <w:sz w:val="22"/>
          <w:szCs w:val="22"/>
        </w:rPr>
        <w:t xml:space="preserve"> mondialisation, la diffusion progressive du modèle de l’État-nation sur tous les continents et la multiplication du nombre des États souverains ont constitué la matrice fondamentale </w:t>
      </w:r>
      <w:r>
        <w:rPr>
          <w:rFonts w:ascii="Times" w:hAnsi="Times"/>
          <w:sz w:val="22"/>
          <w:szCs w:val="22"/>
        </w:rPr>
        <w:t>d’une</w:t>
      </w:r>
      <w:r w:rsidRPr="00382010">
        <w:rPr>
          <w:rFonts w:ascii="Times" w:hAnsi="Times"/>
          <w:sz w:val="22"/>
          <w:szCs w:val="22"/>
        </w:rPr>
        <w:t xml:space="preserve"> recomposition sans précédent à l’échelle globale. La chute des grands empires continentaux, la décolonisation, l’échec des idéologies raciales et internationalistes ont fait de la nation l’actrice principale de relations devenues r</w:t>
      </w:r>
      <w:r w:rsidR="00945735">
        <w:rPr>
          <w:rFonts w:ascii="Times" w:hAnsi="Times"/>
          <w:sz w:val="22"/>
          <w:szCs w:val="22"/>
        </w:rPr>
        <w:t>éellement « </w:t>
      </w:r>
      <w:proofErr w:type="spellStart"/>
      <w:r w:rsidR="00945735">
        <w:rPr>
          <w:rFonts w:ascii="Times" w:hAnsi="Times"/>
          <w:sz w:val="22"/>
          <w:szCs w:val="22"/>
        </w:rPr>
        <w:t>inter-nationales</w:t>
      </w:r>
      <w:proofErr w:type="spellEnd"/>
      <w:r w:rsidR="00945735">
        <w:rPr>
          <w:rFonts w:ascii="Times" w:hAnsi="Times"/>
          <w:sz w:val="22"/>
          <w:szCs w:val="22"/>
        </w:rPr>
        <w:t> ». Elles se sont également accompagnées de l’émergence d’une « gouvernance globale », ainsi que de la diffusion de modèles de gouvernance nationale.</w:t>
      </w:r>
    </w:p>
    <w:p w14:paraId="30FA49BF" w14:textId="77777777" w:rsidR="008F70C6" w:rsidRDefault="008F70C6" w:rsidP="00750181">
      <w:pPr>
        <w:jc w:val="both"/>
        <w:rPr>
          <w:rFonts w:ascii="Times" w:hAnsi="Times"/>
          <w:sz w:val="22"/>
          <w:szCs w:val="22"/>
        </w:rPr>
      </w:pPr>
    </w:p>
    <w:p w14:paraId="62889EDC" w14:textId="3E8B1746" w:rsidR="00750181" w:rsidRDefault="00750181" w:rsidP="00750181">
      <w:pPr>
        <w:jc w:val="both"/>
        <w:rPr>
          <w:rFonts w:ascii="Times" w:hAnsi="Times"/>
          <w:sz w:val="22"/>
          <w:szCs w:val="22"/>
        </w:rPr>
      </w:pPr>
      <w:r w:rsidRPr="00382010">
        <w:rPr>
          <w:rFonts w:ascii="Times" w:hAnsi="Times"/>
          <w:sz w:val="22"/>
          <w:szCs w:val="22"/>
        </w:rPr>
        <w:t xml:space="preserve">L’objectif </w:t>
      </w:r>
      <w:r w:rsidR="00945735">
        <w:rPr>
          <w:rFonts w:ascii="Times" w:hAnsi="Times"/>
          <w:sz w:val="22"/>
          <w:szCs w:val="22"/>
        </w:rPr>
        <w:t xml:space="preserve">méthodologique </w:t>
      </w:r>
      <w:r w:rsidRPr="00382010">
        <w:rPr>
          <w:rFonts w:ascii="Times" w:hAnsi="Times"/>
          <w:sz w:val="22"/>
          <w:szCs w:val="22"/>
        </w:rPr>
        <w:t xml:space="preserve">de ce cours est de familiariser les étudiants avec l’approche transnationale </w:t>
      </w:r>
      <w:r w:rsidR="00945735">
        <w:rPr>
          <w:rFonts w:ascii="Times" w:hAnsi="Times"/>
          <w:sz w:val="22"/>
          <w:szCs w:val="22"/>
        </w:rPr>
        <w:t xml:space="preserve">et globale en </w:t>
      </w:r>
      <w:r w:rsidRPr="00382010">
        <w:rPr>
          <w:rFonts w:ascii="Times" w:hAnsi="Times"/>
          <w:sz w:val="22"/>
          <w:szCs w:val="22"/>
        </w:rPr>
        <w:t>histoire des relations internationales. L’accent sera mis sur les interactions</w:t>
      </w:r>
      <w:r w:rsidR="00945735">
        <w:rPr>
          <w:rFonts w:ascii="Times" w:hAnsi="Times"/>
          <w:sz w:val="22"/>
          <w:szCs w:val="22"/>
        </w:rPr>
        <w:t xml:space="preserve"> (comparaisons, transferts,</w:t>
      </w:r>
      <w:r w:rsidRPr="00382010">
        <w:rPr>
          <w:rFonts w:ascii="Times" w:hAnsi="Times"/>
          <w:sz w:val="22"/>
          <w:szCs w:val="22"/>
        </w:rPr>
        <w:t xml:space="preserve"> </w:t>
      </w:r>
      <w:r w:rsidR="00945735">
        <w:rPr>
          <w:rFonts w:ascii="Times" w:hAnsi="Times"/>
          <w:sz w:val="22"/>
          <w:szCs w:val="22"/>
        </w:rPr>
        <w:t xml:space="preserve">circulations, interdépendances) </w:t>
      </w:r>
      <w:r w:rsidRPr="00382010">
        <w:rPr>
          <w:rFonts w:ascii="Times" w:hAnsi="Times"/>
          <w:sz w:val="22"/>
          <w:szCs w:val="22"/>
        </w:rPr>
        <w:t xml:space="preserve">entre les transformations des sociétés nationales (massification, mondialisation, société de consommation, cultures et mémoires de guerre, </w:t>
      </w:r>
      <w:r w:rsidR="00945735">
        <w:rPr>
          <w:rFonts w:ascii="Times" w:hAnsi="Times"/>
          <w:sz w:val="22"/>
          <w:szCs w:val="22"/>
        </w:rPr>
        <w:t>modèles économiques et sociaux</w:t>
      </w:r>
      <w:r w:rsidRPr="00382010">
        <w:rPr>
          <w:rFonts w:ascii="Times" w:hAnsi="Times"/>
          <w:sz w:val="22"/>
          <w:szCs w:val="22"/>
        </w:rPr>
        <w:t xml:space="preserve">) et l’évolution des relations internationales (guerres totales, </w:t>
      </w:r>
      <w:proofErr w:type="spellStart"/>
      <w:r w:rsidRPr="00382010">
        <w:rPr>
          <w:rFonts w:ascii="Times" w:hAnsi="Times"/>
          <w:sz w:val="22"/>
          <w:szCs w:val="22"/>
        </w:rPr>
        <w:t>économisation</w:t>
      </w:r>
      <w:proofErr w:type="spellEnd"/>
      <w:r w:rsidRPr="00382010">
        <w:rPr>
          <w:rFonts w:ascii="Times" w:hAnsi="Times"/>
          <w:sz w:val="22"/>
          <w:szCs w:val="22"/>
        </w:rPr>
        <w:t xml:space="preserve"> des enjeux, interdépendances monétaires, essor de l’humanitaire, modification des espaces internationaux, nouvelles temporalités diplomatiques). </w:t>
      </w:r>
    </w:p>
    <w:p w14:paraId="4F06E62C" w14:textId="77777777" w:rsidR="00750181" w:rsidRDefault="00750181"/>
    <w:p w14:paraId="6C43648E" w14:textId="77777777" w:rsidR="00750181" w:rsidRPr="00750181" w:rsidRDefault="00750181"/>
    <w:p w14:paraId="74B33749" w14:textId="6540342E" w:rsidR="00723DA8" w:rsidRPr="00750181" w:rsidRDefault="00750181" w:rsidP="00750181">
      <w:pPr>
        <w:jc w:val="center"/>
        <w:rPr>
          <w:rFonts w:ascii="Times" w:hAnsi="Times"/>
        </w:rPr>
      </w:pPr>
      <w:r w:rsidRPr="00750181">
        <w:rPr>
          <w:rFonts w:ascii="Times" w:hAnsi="Times"/>
        </w:rPr>
        <w:t>PLAN DU COURS</w:t>
      </w:r>
    </w:p>
    <w:p w14:paraId="78113DDE" w14:textId="77777777" w:rsidR="00723DA8" w:rsidRPr="00945735" w:rsidRDefault="00723DA8">
      <w:pPr>
        <w:rPr>
          <w:rFonts w:ascii="Times New Roman" w:hAnsi="Times New Roman" w:cs="Times New Roman"/>
        </w:rPr>
      </w:pPr>
    </w:p>
    <w:p w14:paraId="63110EBF" w14:textId="77777777" w:rsidR="00945735" w:rsidRPr="00945735" w:rsidRDefault="00945735" w:rsidP="0094573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45735">
        <w:rPr>
          <w:rFonts w:ascii="Times New Roman" w:hAnsi="Times New Roman" w:cs="Times New Roman"/>
          <w:sz w:val="22"/>
          <w:szCs w:val="22"/>
        </w:rPr>
        <w:t>1</w:t>
      </w:r>
      <w:r w:rsidRPr="00945735">
        <w:rPr>
          <w:rFonts w:ascii="Times New Roman" w:hAnsi="Times New Roman" w:cs="Times New Roman"/>
          <w:sz w:val="22"/>
          <w:szCs w:val="22"/>
        </w:rPr>
        <w:tab/>
        <w:t>Introduction</w:t>
      </w:r>
    </w:p>
    <w:p w14:paraId="206FA927" w14:textId="77777777" w:rsidR="00945735" w:rsidRPr="00945735" w:rsidRDefault="00945735" w:rsidP="0094573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45735">
        <w:rPr>
          <w:rFonts w:ascii="Times New Roman" w:hAnsi="Times New Roman" w:cs="Times New Roman"/>
          <w:sz w:val="22"/>
          <w:szCs w:val="22"/>
        </w:rPr>
        <w:t>2-3</w:t>
      </w:r>
      <w:r w:rsidRPr="00945735">
        <w:rPr>
          <w:rFonts w:ascii="Times New Roman" w:hAnsi="Times New Roman" w:cs="Times New Roman"/>
          <w:sz w:val="22"/>
          <w:szCs w:val="22"/>
        </w:rPr>
        <w:tab/>
        <w:t>Aux origines de la gouvernance mondiale : le condominium colonial</w:t>
      </w:r>
    </w:p>
    <w:p w14:paraId="76B908FE" w14:textId="77777777" w:rsidR="00945735" w:rsidRPr="00945735" w:rsidRDefault="00945735" w:rsidP="0094573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45735">
        <w:rPr>
          <w:rFonts w:ascii="Times New Roman" w:hAnsi="Times New Roman" w:cs="Times New Roman"/>
          <w:sz w:val="22"/>
          <w:szCs w:val="22"/>
        </w:rPr>
        <w:t>4-5</w:t>
      </w:r>
      <w:r w:rsidRPr="00945735">
        <w:rPr>
          <w:rFonts w:ascii="Times New Roman" w:hAnsi="Times New Roman" w:cs="Times New Roman"/>
          <w:sz w:val="22"/>
          <w:szCs w:val="22"/>
        </w:rPr>
        <w:tab/>
        <w:t>Histoire globale du New Deal : les nouveaux attributs de la gouvernance</w:t>
      </w:r>
    </w:p>
    <w:p w14:paraId="339AF195" w14:textId="77777777" w:rsidR="00945735" w:rsidRPr="00945735" w:rsidRDefault="00945735" w:rsidP="0094573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45735">
        <w:rPr>
          <w:rFonts w:ascii="Times New Roman" w:hAnsi="Times New Roman" w:cs="Times New Roman"/>
          <w:sz w:val="22"/>
          <w:szCs w:val="22"/>
        </w:rPr>
        <w:t>6-7</w:t>
      </w:r>
      <w:r w:rsidRPr="00945735">
        <w:rPr>
          <w:rFonts w:ascii="Times New Roman" w:hAnsi="Times New Roman" w:cs="Times New Roman"/>
          <w:sz w:val="22"/>
          <w:szCs w:val="22"/>
        </w:rPr>
        <w:tab/>
        <w:t>Idéologies et droits de l’homme : une nouvelle conception des RI ?</w:t>
      </w:r>
    </w:p>
    <w:p w14:paraId="5A32BDF7" w14:textId="77777777" w:rsidR="00945735" w:rsidRPr="00945735" w:rsidRDefault="00945735" w:rsidP="0094573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45735">
        <w:rPr>
          <w:rFonts w:ascii="Times New Roman" w:hAnsi="Times New Roman" w:cs="Times New Roman"/>
          <w:sz w:val="22"/>
          <w:szCs w:val="22"/>
        </w:rPr>
        <w:t>8-9</w:t>
      </w:r>
      <w:r w:rsidRPr="00945735">
        <w:rPr>
          <w:rFonts w:ascii="Times New Roman" w:hAnsi="Times New Roman" w:cs="Times New Roman"/>
          <w:sz w:val="22"/>
          <w:szCs w:val="22"/>
        </w:rPr>
        <w:tab/>
        <w:t>Mondialisation économique et gouvernance globale</w:t>
      </w:r>
    </w:p>
    <w:p w14:paraId="67AE8897" w14:textId="77777777" w:rsidR="00945735" w:rsidRPr="00945735" w:rsidRDefault="00945735" w:rsidP="0094573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45735">
        <w:rPr>
          <w:rFonts w:ascii="Times New Roman" w:hAnsi="Times New Roman" w:cs="Times New Roman"/>
          <w:sz w:val="22"/>
          <w:szCs w:val="22"/>
        </w:rPr>
        <w:t>10-11</w:t>
      </w:r>
      <w:r w:rsidRPr="00945735">
        <w:rPr>
          <w:rFonts w:ascii="Times New Roman" w:hAnsi="Times New Roman" w:cs="Times New Roman"/>
          <w:sz w:val="22"/>
          <w:szCs w:val="22"/>
        </w:rPr>
        <w:tab/>
        <w:t>Le néolibéralisme : diffusion mondiale d’une gouvernance économique</w:t>
      </w:r>
    </w:p>
    <w:p w14:paraId="7156EE0F" w14:textId="7C2BA0ED" w:rsidR="00750181" w:rsidRPr="00945735" w:rsidRDefault="00945735" w:rsidP="00945735">
      <w:pPr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945735">
        <w:rPr>
          <w:rFonts w:ascii="Times New Roman" w:hAnsi="Times New Roman" w:cs="Times New Roman"/>
          <w:sz w:val="22"/>
          <w:szCs w:val="22"/>
        </w:rPr>
        <w:t>11</w:t>
      </w:r>
      <w:r w:rsidRPr="00945735">
        <w:rPr>
          <w:rFonts w:ascii="Times New Roman" w:hAnsi="Times New Roman" w:cs="Times New Roman"/>
          <w:sz w:val="22"/>
          <w:szCs w:val="22"/>
        </w:rPr>
        <w:tab/>
        <w:t>Conclusion</w:t>
      </w:r>
    </w:p>
    <w:p w14:paraId="2EF79CB4" w14:textId="77777777" w:rsidR="00750181" w:rsidRPr="00750181" w:rsidRDefault="00750181">
      <w:pPr>
        <w:rPr>
          <w:rFonts w:ascii="Times" w:hAnsi="Times"/>
          <w:sz w:val="22"/>
          <w:szCs w:val="22"/>
        </w:rPr>
      </w:pPr>
    </w:p>
    <w:p w14:paraId="2EC31031" w14:textId="77777777" w:rsidR="00750181" w:rsidRPr="00750181" w:rsidRDefault="00750181">
      <w:pPr>
        <w:rPr>
          <w:rFonts w:ascii="Times" w:hAnsi="Times"/>
          <w:sz w:val="22"/>
          <w:szCs w:val="22"/>
        </w:rPr>
      </w:pPr>
    </w:p>
    <w:p w14:paraId="1962B1A4" w14:textId="77777777" w:rsidR="00750181" w:rsidRPr="00750181" w:rsidRDefault="00750181" w:rsidP="00750181">
      <w:pPr>
        <w:jc w:val="both"/>
        <w:rPr>
          <w:rFonts w:ascii="Times" w:hAnsi="Times"/>
          <w:sz w:val="22"/>
          <w:szCs w:val="22"/>
          <w:u w:val="single"/>
        </w:rPr>
      </w:pPr>
      <w:r w:rsidRPr="00750181">
        <w:rPr>
          <w:rFonts w:ascii="Times" w:hAnsi="Times"/>
          <w:sz w:val="22"/>
          <w:szCs w:val="22"/>
          <w:u w:val="single"/>
        </w:rPr>
        <w:t>Références bibliographiques</w:t>
      </w:r>
    </w:p>
    <w:p w14:paraId="7A45B1A6" w14:textId="77777777" w:rsidR="00750181" w:rsidRPr="00750181" w:rsidRDefault="00750181" w:rsidP="00750181">
      <w:pPr>
        <w:jc w:val="both"/>
        <w:rPr>
          <w:rFonts w:ascii="Times" w:hAnsi="Times"/>
          <w:sz w:val="22"/>
          <w:szCs w:val="22"/>
          <w:u w:val="single"/>
        </w:rPr>
      </w:pPr>
    </w:p>
    <w:p w14:paraId="2D2C7DCE" w14:textId="77777777" w:rsidR="00945735" w:rsidRPr="00945735" w:rsidRDefault="00945735" w:rsidP="00945735">
      <w:pPr>
        <w:pStyle w:val="Paragraphedeliste"/>
        <w:numPr>
          <w:ilvl w:val="0"/>
          <w:numId w:val="3"/>
        </w:numPr>
        <w:spacing w:before="12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945735">
        <w:rPr>
          <w:rFonts w:ascii="Times New Roman" w:hAnsi="Times New Roman" w:cs="Times New Roman"/>
          <w:sz w:val="20"/>
          <w:szCs w:val="20"/>
        </w:rPr>
        <w:t xml:space="preserve">Éric Hobsbawm, </w:t>
      </w:r>
      <w:r w:rsidRPr="00945735">
        <w:rPr>
          <w:rFonts w:ascii="Times New Roman" w:hAnsi="Times New Roman" w:cs="Times New Roman"/>
          <w:i/>
          <w:sz w:val="20"/>
          <w:szCs w:val="20"/>
        </w:rPr>
        <w:t>L’âge des extrêmes. Histoire du court XX</w:t>
      </w:r>
      <w:r w:rsidRPr="00945735">
        <w:rPr>
          <w:rFonts w:ascii="Times New Roman" w:hAnsi="Times New Roman" w:cs="Times New Roman"/>
          <w:i/>
          <w:sz w:val="20"/>
          <w:szCs w:val="20"/>
          <w:vertAlign w:val="superscript"/>
        </w:rPr>
        <w:t>e</w:t>
      </w:r>
      <w:r w:rsidRPr="00945735">
        <w:rPr>
          <w:rFonts w:ascii="Times New Roman" w:hAnsi="Times New Roman" w:cs="Times New Roman"/>
          <w:i/>
          <w:sz w:val="20"/>
          <w:szCs w:val="20"/>
        </w:rPr>
        <w:t xml:space="preserve"> siècle</w:t>
      </w:r>
      <w:r w:rsidRPr="00945735">
        <w:rPr>
          <w:rFonts w:ascii="Times New Roman" w:hAnsi="Times New Roman" w:cs="Times New Roman"/>
          <w:sz w:val="20"/>
          <w:szCs w:val="20"/>
        </w:rPr>
        <w:t>,</w:t>
      </w:r>
      <w:r w:rsidRPr="00945735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945735">
        <w:rPr>
          <w:rFonts w:ascii="Times New Roman" w:hAnsi="Times New Roman" w:cs="Times New Roman"/>
          <w:sz w:val="20"/>
          <w:szCs w:val="20"/>
        </w:rPr>
        <w:t>Paris, Hachette, 2000.</w:t>
      </w:r>
    </w:p>
    <w:p w14:paraId="3A1E843F" w14:textId="77777777" w:rsidR="008E40ED" w:rsidRPr="00945735" w:rsidRDefault="008E40ED" w:rsidP="008E40ED">
      <w:pPr>
        <w:pStyle w:val="Paragraphedeliste"/>
        <w:numPr>
          <w:ilvl w:val="0"/>
          <w:numId w:val="3"/>
        </w:numPr>
        <w:spacing w:before="120"/>
        <w:ind w:left="284" w:hanging="284"/>
        <w:jc w:val="both"/>
        <w:rPr>
          <w:rFonts w:ascii="Times New Roman" w:hAnsi="Times New Roman" w:cs="Times New Roman"/>
          <w:sz w:val="20"/>
          <w:szCs w:val="20"/>
        </w:rPr>
      </w:pPr>
      <w:r w:rsidRPr="00945735">
        <w:rPr>
          <w:rFonts w:ascii="Times New Roman" w:hAnsi="Times New Roman" w:cs="Times New Roman"/>
          <w:sz w:val="20"/>
          <w:szCs w:val="20"/>
        </w:rPr>
        <w:t xml:space="preserve">Sandrine </w:t>
      </w:r>
      <w:proofErr w:type="spellStart"/>
      <w:r w:rsidRPr="00945735">
        <w:rPr>
          <w:rFonts w:ascii="Times New Roman" w:hAnsi="Times New Roman" w:cs="Times New Roman"/>
          <w:sz w:val="20"/>
          <w:szCs w:val="20"/>
        </w:rPr>
        <w:t>Kott</w:t>
      </w:r>
      <w:proofErr w:type="spellEnd"/>
      <w:r w:rsidRPr="00945735">
        <w:rPr>
          <w:rFonts w:ascii="Times New Roman" w:hAnsi="Times New Roman" w:cs="Times New Roman"/>
          <w:sz w:val="20"/>
          <w:szCs w:val="20"/>
        </w:rPr>
        <w:t>, </w:t>
      </w:r>
      <w:r w:rsidRPr="00945735">
        <w:rPr>
          <w:rFonts w:ascii="Times New Roman" w:hAnsi="Times New Roman" w:cs="Times New Roman"/>
          <w:i/>
          <w:iCs/>
          <w:sz w:val="20"/>
          <w:szCs w:val="20"/>
        </w:rPr>
        <w:t>Organiser le monde. Une autre histoire de la guerre froide</w:t>
      </w:r>
      <w:r w:rsidRPr="00945735">
        <w:rPr>
          <w:rFonts w:ascii="Times New Roman" w:hAnsi="Times New Roman" w:cs="Times New Roman"/>
          <w:sz w:val="20"/>
          <w:szCs w:val="20"/>
        </w:rPr>
        <w:t>, Paris, Le Seuil, 2021.</w:t>
      </w:r>
    </w:p>
    <w:p w14:paraId="1EE30E0C" w14:textId="77777777" w:rsidR="00945735" w:rsidRPr="00945735" w:rsidRDefault="00945735" w:rsidP="00945735">
      <w:pPr>
        <w:pStyle w:val="Paragraphedeliste"/>
        <w:numPr>
          <w:ilvl w:val="0"/>
          <w:numId w:val="3"/>
        </w:numPr>
        <w:spacing w:before="12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</w:pPr>
      <w:r w:rsidRPr="00945735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Mark </w:t>
      </w:r>
      <w:proofErr w:type="spellStart"/>
      <w:r w:rsidRPr="00945735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Mazower</w:t>
      </w:r>
      <w:proofErr w:type="spellEnd"/>
      <w:r w:rsidRPr="00945735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, </w:t>
      </w:r>
      <w:r w:rsidRPr="00945735">
        <w:rPr>
          <w:rFonts w:ascii="Times New Roman" w:eastAsia="Times New Roman" w:hAnsi="Times New Roman" w:cs="Times New Roman"/>
          <w:i/>
          <w:iCs/>
          <w:sz w:val="20"/>
          <w:szCs w:val="20"/>
          <w:lang w:val="en-US" w:eastAsia="fr-FR"/>
        </w:rPr>
        <w:t>Governing the World. The History of the Idea, from 1815 to the Present</w:t>
      </w:r>
      <w:r w:rsidRPr="00945735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 xml:space="preserve">, </w:t>
      </w:r>
      <w:proofErr w:type="spellStart"/>
      <w:r w:rsidRPr="00945735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Londres</w:t>
      </w:r>
      <w:proofErr w:type="spellEnd"/>
      <w:r w:rsidRPr="00945735">
        <w:rPr>
          <w:rFonts w:ascii="Times New Roman" w:eastAsia="Times New Roman" w:hAnsi="Times New Roman" w:cs="Times New Roman"/>
          <w:sz w:val="20"/>
          <w:szCs w:val="20"/>
          <w:lang w:val="en-US" w:eastAsia="fr-FR"/>
        </w:rPr>
        <w:t>, Allen Lane, 2012.</w:t>
      </w:r>
    </w:p>
    <w:p w14:paraId="6B09575A" w14:textId="77777777" w:rsidR="00945735" w:rsidRPr="00945735" w:rsidRDefault="00945735" w:rsidP="00945735">
      <w:pPr>
        <w:pStyle w:val="Paragraphedeliste"/>
        <w:numPr>
          <w:ilvl w:val="0"/>
          <w:numId w:val="3"/>
        </w:numPr>
        <w:spacing w:before="120"/>
        <w:ind w:left="284" w:hanging="284"/>
        <w:jc w:val="both"/>
        <w:rPr>
          <w:rFonts w:ascii="Times New Roman" w:eastAsia="Times New Roman" w:hAnsi="Times New Roman" w:cs="Times New Roman"/>
          <w:sz w:val="20"/>
          <w:szCs w:val="20"/>
          <w:lang w:eastAsia="fr-FR"/>
        </w:rPr>
      </w:pPr>
      <w:r w:rsidRPr="00945735">
        <w:rPr>
          <w:rFonts w:ascii="Times New Roman" w:hAnsi="Times New Roman" w:cs="Times New Roman"/>
          <w:bCs/>
          <w:sz w:val="20"/>
          <w:szCs w:val="20"/>
          <w:lang w:eastAsia="fr-FR"/>
        </w:rPr>
        <w:t>Philippe Moreau-</w:t>
      </w:r>
      <w:proofErr w:type="spellStart"/>
      <w:r w:rsidRPr="00945735">
        <w:rPr>
          <w:rFonts w:ascii="Times New Roman" w:hAnsi="Times New Roman" w:cs="Times New Roman"/>
          <w:bCs/>
          <w:sz w:val="20"/>
          <w:szCs w:val="20"/>
          <w:lang w:eastAsia="fr-FR"/>
        </w:rPr>
        <w:t>Defarges</w:t>
      </w:r>
      <w:proofErr w:type="spellEnd"/>
      <w:r w:rsidRPr="00945735">
        <w:rPr>
          <w:rFonts w:ascii="Times New Roman" w:hAnsi="Times New Roman" w:cs="Times New Roman"/>
          <w:bCs/>
          <w:sz w:val="20"/>
          <w:szCs w:val="20"/>
          <w:lang w:eastAsia="fr-FR"/>
        </w:rPr>
        <w:t xml:space="preserve">, </w:t>
      </w:r>
      <w:r w:rsidRPr="00945735">
        <w:rPr>
          <w:rFonts w:ascii="Times New Roman" w:hAnsi="Times New Roman" w:cs="Times New Roman"/>
          <w:bCs/>
          <w:i/>
          <w:iCs/>
          <w:sz w:val="20"/>
          <w:szCs w:val="20"/>
          <w:lang w:eastAsia="fr-FR"/>
        </w:rPr>
        <w:t>La tentation du repli : mondialisation, démondialisation : XV</w:t>
      </w:r>
      <w:r w:rsidRPr="00945735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  <w:lang w:eastAsia="fr-FR"/>
        </w:rPr>
        <w:t>e</w:t>
      </w:r>
      <w:r w:rsidRPr="00945735">
        <w:rPr>
          <w:rFonts w:ascii="Times New Roman" w:hAnsi="Times New Roman" w:cs="Times New Roman"/>
          <w:bCs/>
          <w:i/>
          <w:iCs/>
          <w:sz w:val="20"/>
          <w:szCs w:val="20"/>
          <w:lang w:eastAsia="fr-FR"/>
        </w:rPr>
        <w:t>-XXI</w:t>
      </w:r>
      <w:r w:rsidRPr="00945735">
        <w:rPr>
          <w:rFonts w:ascii="Times New Roman" w:hAnsi="Times New Roman" w:cs="Times New Roman"/>
          <w:bCs/>
          <w:i/>
          <w:iCs/>
          <w:sz w:val="20"/>
          <w:szCs w:val="20"/>
          <w:vertAlign w:val="superscript"/>
          <w:lang w:eastAsia="fr-FR"/>
        </w:rPr>
        <w:t>e</w:t>
      </w:r>
      <w:r w:rsidRPr="00945735">
        <w:rPr>
          <w:rFonts w:ascii="Times New Roman" w:hAnsi="Times New Roman" w:cs="Times New Roman"/>
          <w:bCs/>
          <w:i/>
          <w:iCs/>
          <w:sz w:val="20"/>
          <w:szCs w:val="20"/>
          <w:lang w:eastAsia="fr-FR"/>
        </w:rPr>
        <w:t xml:space="preserve"> </w:t>
      </w:r>
      <w:r w:rsidRPr="00945735">
        <w:rPr>
          <w:rFonts w:ascii="Times New Roman" w:hAnsi="Times New Roman" w:cs="Times New Roman"/>
          <w:bCs/>
          <w:iCs/>
          <w:sz w:val="20"/>
          <w:szCs w:val="20"/>
          <w:lang w:eastAsia="fr-FR"/>
        </w:rPr>
        <w:t xml:space="preserve">siècles, </w:t>
      </w:r>
      <w:r w:rsidRPr="00945735">
        <w:rPr>
          <w:rFonts w:ascii="Times New Roman" w:hAnsi="Times New Roman" w:cs="Times New Roman"/>
          <w:sz w:val="20"/>
          <w:szCs w:val="20"/>
          <w:lang w:eastAsia="fr-FR"/>
        </w:rPr>
        <w:t>Paris, Odile Jacob, 2018.</w:t>
      </w:r>
    </w:p>
    <w:p w14:paraId="0C50F8BA" w14:textId="77777777" w:rsidR="00750181" w:rsidRPr="00945735" w:rsidRDefault="00750181">
      <w:pPr>
        <w:rPr>
          <w:rFonts w:ascii="Times" w:hAnsi="Times"/>
          <w:sz w:val="22"/>
          <w:szCs w:val="22"/>
          <w:lang w:val="en-US"/>
        </w:rPr>
      </w:pPr>
    </w:p>
    <w:sectPr w:rsidR="00750181" w:rsidRPr="00945735" w:rsidSect="006C0E90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24585" w14:textId="77777777" w:rsidR="00B40A2C" w:rsidRDefault="00B40A2C" w:rsidP="005F1243">
      <w:r>
        <w:separator/>
      </w:r>
    </w:p>
  </w:endnote>
  <w:endnote w:type="continuationSeparator" w:id="0">
    <w:p w14:paraId="1FBF5771" w14:textId="77777777" w:rsidR="00B40A2C" w:rsidRDefault="00B40A2C" w:rsidP="005F1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30D588" w14:textId="77777777" w:rsidR="00B40A2C" w:rsidRDefault="00B40A2C" w:rsidP="005F1243">
      <w:r>
        <w:separator/>
      </w:r>
    </w:p>
  </w:footnote>
  <w:footnote w:type="continuationSeparator" w:id="0">
    <w:p w14:paraId="79A43C95" w14:textId="77777777" w:rsidR="00B40A2C" w:rsidRDefault="00B40A2C" w:rsidP="005F12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B88545" w14:textId="0515FFE7" w:rsidR="005F1243" w:rsidRDefault="005F1243">
    <w:pPr>
      <w:pStyle w:val="En-tte"/>
    </w:pPr>
    <w:r>
      <w:t>Dr. Mathieu DUBOIS</w:t>
    </w:r>
    <w:r>
      <w:tab/>
    </w:r>
    <w:r>
      <w:tab/>
      <w:t>IEP de Rennes</w:t>
    </w:r>
  </w:p>
  <w:p w14:paraId="4F360A81" w14:textId="1987A839" w:rsidR="005F1243" w:rsidRDefault="005F1243">
    <w:pPr>
      <w:pStyle w:val="En-tte"/>
    </w:pPr>
    <w:r>
      <w:t xml:space="preserve">CM </w:t>
    </w:r>
    <w:r w:rsidR="00B75707">
      <w:t>de 4</w:t>
    </w:r>
    <w:r w:rsidR="00B75707" w:rsidRPr="00B75707">
      <w:rPr>
        <w:vertAlign w:val="superscript"/>
      </w:rPr>
      <w:t>e</w:t>
    </w:r>
    <w:r w:rsidR="00B75707">
      <w:t xml:space="preserve"> </w:t>
    </w:r>
    <w:r w:rsidR="00D45289">
      <w:t>année</w:t>
    </w:r>
    <w:r w:rsidR="00B75707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03538F"/>
    <w:multiLevelType w:val="hybridMultilevel"/>
    <w:tmpl w:val="B8C0144A"/>
    <w:lvl w:ilvl="0" w:tplc="DC46F8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EA643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764BEF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6C476E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8E62D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F2AD3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4860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04A4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526B31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3125A2"/>
    <w:multiLevelType w:val="hybridMultilevel"/>
    <w:tmpl w:val="0368185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B20E39"/>
    <w:multiLevelType w:val="hybridMultilevel"/>
    <w:tmpl w:val="BDD2A5A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DA8"/>
    <w:rsid w:val="0029367F"/>
    <w:rsid w:val="003950CB"/>
    <w:rsid w:val="00395E87"/>
    <w:rsid w:val="00561FA8"/>
    <w:rsid w:val="005F1243"/>
    <w:rsid w:val="006B5D63"/>
    <w:rsid w:val="006C0E90"/>
    <w:rsid w:val="00723DA8"/>
    <w:rsid w:val="00750181"/>
    <w:rsid w:val="007D6476"/>
    <w:rsid w:val="008226E9"/>
    <w:rsid w:val="008E40ED"/>
    <w:rsid w:val="008F70C6"/>
    <w:rsid w:val="00945735"/>
    <w:rsid w:val="00B40A2C"/>
    <w:rsid w:val="00B75707"/>
    <w:rsid w:val="00CF3E2B"/>
    <w:rsid w:val="00D45289"/>
    <w:rsid w:val="00F7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4FBC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50181"/>
    <w:pPr>
      <w:ind w:left="720"/>
      <w:contextualSpacing/>
    </w:pPr>
  </w:style>
  <w:style w:type="character" w:customStyle="1" w:styleId="romain">
    <w:name w:val="romain"/>
    <w:basedOn w:val="Policepardfaut"/>
    <w:rsid w:val="00750181"/>
  </w:style>
  <w:style w:type="paragraph" w:customStyle="1" w:styleId="p1">
    <w:name w:val="p1"/>
    <w:basedOn w:val="Normal"/>
    <w:rsid w:val="00750181"/>
    <w:rPr>
      <w:rFonts w:ascii="Times" w:hAnsi="Times" w:cs="Times New Roman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5F124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F1243"/>
  </w:style>
  <w:style w:type="paragraph" w:styleId="Pieddepage">
    <w:name w:val="footer"/>
    <w:basedOn w:val="Normal"/>
    <w:link w:val="PieddepageCar"/>
    <w:uiPriority w:val="99"/>
    <w:unhideWhenUsed/>
    <w:rsid w:val="005F124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5F12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5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40763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829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906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451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008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54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825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831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352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260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5332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1268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381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Mathieu DUBOIS</dc:creator>
  <cp:keywords/>
  <dc:description/>
  <cp:lastModifiedBy>Prepare</cp:lastModifiedBy>
  <cp:revision>2</cp:revision>
  <cp:lastPrinted>2019-09-12T10:28:00Z</cp:lastPrinted>
  <dcterms:created xsi:type="dcterms:W3CDTF">2023-02-14T09:52:00Z</dcterms:created>
  <dcterms:modified xsi:type="dcterms:W3CDTF">2023-02-14T09:52:00Z</dcterms:modified>
</cp:coreProperties>
</file>