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37D551" w14:textId="77777777" w:rsidR="00AA67CC" w:rsidRDefault="00AA67CC" w:rsidP="00AA67CC">
      <w:r w:rsidRPr="002A5BE1">
        <w:rPr>
          <w:rFonts w:ascii="Garamond" w:hAnsi="Garamond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585BDEE" wp14:editId="59FFD9D5">
            <wp:simplePos x="0" y="0"/>
            <wp:positionH relativeFrom="column">
              <wp:posOffset>681355</wp:posOffset>
            </wp:positionH>
            <wp:positionV relativeFrom="paragraph">
              <wp:posOffset>175260</wp:posOffset>
            </wp:positionV>
            <wp:extent cx="961390" cy="908685"/>
            <wp:effectExtent l="0" t="0" r="0" b="5715"/>
            <wp:wrapSquare wrapText="bothSides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908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6FF6BD3" w14:textId="77777777" w:rsidR="00AA67CC" w:rsidRDefault="00AA67CC" w:rsidP="00AA67CC"/>
    <w:p w14:paraId="6FD870F7" w14:textId="77777777" w:rsidR="00AA67CC" w:rsidRDefault="00AA67CC" w:rsidP="00AA67CC"/>
    <w:p w14:paraId="5D72A279" w14:textId="77777777" w:rsidR="00AA67CC" w:rsidRDefault="00AA67CC" w:rsidP="00AA67CC"/>
    <w:p w14:paraId="6A49A00D" w14:textId="43E6909D" w:rsidR="00AA67CC" w:rsidRPr="002A5BE1" w:rsidRDefault="00AA67CC" w:rsidP="00AA67CC">
      <w:pPr>
        <w:rPr>
          <w:rFonts w:ascii="Garamond" w:hAnsi="Garamond"/>
        </w:rPr>
      </w:pPr>
    </w:p>
    <w:p w14:paraId="258E0C1C" w14:textId="77777777" w:rsidR="00AA67CC" w:rsidRPr="002A5BE1" w:rsidRDefault="00AA67CC" w:rsidP="00AA67CC">
      <w:pPr>
        <w:pStyle w:val="Titre2"/>
        <w:jc w:val="center"/>
        <w:rPr>
          <w:rFonts w:ascii="Garamond" w:hAnsi="Garamond"/>
          <w:b/>
          <w:sz w:val="36"/>
          <w:szCs w:val="36"/>
        </w:rPr>
      </w:pPr>
      <w:r w:rsidRPr="002A5BE1">
        <w:rPr>
          <w:rFonts w:ascii="Garamond" w:hAnsi="Garamond"/>
          <w:b/>
          <w:sz w:val="36"/>
          <w:szCs w:val="36"/>
        </w:rPr>
        <w:tab/>
      </w:r>
      <w:r w:rsidRPr="002A5BE1">
        <w:rPr>
          <w:rFonts w:ascii="Garamond" w:hAnsi="Garamond"/>
          <w:b/>
          <w:sz w:val="36"/>
          <w:szCs w:val="36"/>
        </w:rPr>
        <w:tab/>
      </w:r>
      <w:r w:rsidRPr="002A5BE1">
        <w:rPr>
          <w:rFonts w:ascii="Garamond" w:hAnsi="Garamond"/>
          <w:b/>
          <w:sz w:val="36"/>
          <w:szCs w:val="36"/>
        </w:rPr>
        <w:tab/>
      </w:r>
      <w:r w:rsidRPr="002A5BE1">
        <w:rPr>
          <w:rFonts w:ascii="Garamond" w:hAnsi="Garamond"/>
          <w:b/>
          <w:sz w:val="36"/>
          <w:szCs w:val="36"/>
        </w:rPr>
        <w:tab/>
      </w:r>
      <w:r w:rsidRPr="002A5BE1">
        <w:rPr>
          <w:rFonts w:ascii="Garamond" w:hAnsi="Garamond"/>
          <w:b/>
          <w:sz w:val="36"/>
          <w:szCs w:val="36"/>
        </w:rPr>
        <w:tab/>
      </w:r>
      <w:r w:rsidRPr="002A5BE1">
        <w:rPr>
          <w:rFonts w:ascii="Garamond" w:hAnsi="Garamond"/>
          <w:b/>
          <w:sz w:val="36"/>
          <w:szCs w:val="36"/>
        </w:rPr>
        <w:tab/>
      </w:r>
      <w:r w:rsidRPr="002A5BE1">
        <w:rPr>
          <w:rFonts w:ascii="Garamond" w:hAnsi="Garamond"/>
          <w:b/>
          <w:sz w:val="36"/>
          <w:szCs w:val="36"/>
        </w:rPr>
        <w:tab/>
      </w:r>
    </w:p>
    <w:p w14:paraId="55734B8A" w14:textId="77777777" w:rsidR="00AA67CC" w:rsidRPr="002A5BE1" w:rsidRDefault="00AA67CC" w:rsidP="00AA67CC">
      <w:pPr>
        <w:rPr>
          <w:rFonts w:ascii="Garamond" w:hAnsi="Garamond"/>
        </w:rPr>
      </w:pPr>
    </w:p>
    <w:p w14:paraId="19F33FC8" w14:textId="77777777" w:rsidR="00AA67CC" w:rsidRPr="002A5BE1" w:rsidRDefault="00AA67CC" w:rsidP="00AA67CC">
      <w:pPr>
        <w:widowControl w:val="0"/>
        <w:autoSpaceDE w:val="0"/>
        <w:autoSpaceDN w:val="0"/>
        <w:adjustRightInd w:val="0"/>
        <w:jc w:val="right"/>
        <w:rPr>
          <w:rFonts w:ascii="Garamond" w:eastAsia="Times New Roman" w:hAnsi="Garamond"/>
          <w:b/>
          <w:sz w:val="28"/>
          <w:szCs w:val="28"/>
        </w:rPr>
      </w:pPr>
      <w:r w:rsidRPr="002A5BE1">
        <w:rPr>
          <w:rFonts w:ascii="Garamond" w:eastAsia="Times New Roman" w:hAnsi="Garamond"/>
          <w:sz w:val="28"/>
          <w:szCs w:val="28"/>
        </w:rPr>
        <w:t xml:space="preserve">Cours : </w:t>
      </w:r>
      <w:r w:rsidRPr="002A5BE1">
        <w:rPr>
          <w:rFonts w:ascii="Garamond" w:eastAsia="Times New Roman" w:hAnsi="Garamond"/>
          <w:b/>
          <w:sz w:val="28"/>
          <w:szCs w:val="28"/>
        </w:rPr>
        <w:t>Adeline THOBIE</w:t>
      </w:r>
    </w:p>
    <w:p w14:paraId="23E28E9C" w14:textId="77777777" w:rsidR="00AA67CC" w:rsidRPr="002A5BE1" w:rsidRDefault="00AA67CC" w:rsidP="00AA67CC">
      <w:pPr>
        <w:widowControl w:val="0"/>
        <w:autoSpaceDE w:val="0"/>
        <w:autoSpaceDN w:val="0"/>
        <w:adjustRightInd w:val="0"/>
        <w:jc w:val="right"/>
        <w:rPr>
          <w:rFonts w:ascii="Garamond" w:eastAsia="Times New Roman" w:hAnsi="Garamond"/>
          <w:sz w:val="28"/>
          <w:szCs w:val="28"/>
        </w:rPr>
      </w:pPr>
      <w:r w:rsidRPr="002A5BE1">
        <w:rPr>
          <w:rFonts w:ascii="Garamond" w:eastAsia="Times New Roman" w:hAnsi="Garamond"/>
          <w:sz w:val="28"/>
          <w:szCs w:val="28"/>
        </w:rPr>
        <w:t>Maître de conférences en Droit privé</w:t>
      </w:r>
    </w:p>
    <w:p w14:paraId="5D9B3BC6" w14:textId="23A44E0E" w:rsidR="00BC2EA9" w:rsidRDefault="00BC2EA9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5192C" w14:paraId="615E2547" w14:textId="77777777" w:rsidTr="001C21B2">
        <w:tc>
          <w:tcPr>
            <w:tcW w:w="9206" w:type="dxa"/>
          </w:tcPr>
          <w:p w14:paraId="1F5029BE" w14:textId="7EE18148" w:rsidR="00C5192C" w:rsidRPr="00FB7CCB" w:rsidRDefault="00813CAB" w:rsidP="001C21B2">
            <w:pPr>
              <w:jc w:val="center"/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Droit de la concurrence</w:t>
            </w:r>
            <w:r w:rsidR="00C5192C">
              <w:rPr>
                <w:rFonts w:ascii="Garamond" w:hAnsi="Garamond"/>
                <w:b/>
              </w:rPr>
              <w:t xml:space="preserve"> </w:t>
            </w:r>
          </w:p>
        </w:tc>
      </w:tr>
    </w:tbl>
    <w:p w14:paraId="73C90B07" w14:textId="77777777" w:rsidR="00C5192C" w:rsidRDefault="00C5192C" w:rsidP="00C5192C"/>
    <w:p w14:paraId="02B8FD83" w14:textId="77777777" w:rsidR="00C5192C" w:rsidRDefault="00C5192C" w:rsidP="00C5192C">
      <w:pPr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Cours dispensé : </w:t>
      </w:r>
    </w:p>
    <w:p w14:paraId="0DE248B5" w14:textId="02999C4E" w:rsidR="00C5192C" w:rsidRPr="0030096A" w:rsidRDefault="00C5192C" w:rsidP="00C5192C">
      <w:pPr>
        <w:rPr>
          <w:rFonts w:ascii="Garamond" w:hAnsi="Garamond"/>
        </w:rPr>
      </w:pPr>
      <w:r>
        <w:rPr>
          <w:rFonts w:ascii="Garamond" w:hAnsi="Garamond"/>
        </w:rPr>
        <w:t>Droit de la concurrence</w:t>
      </w:r>
    </w:p>
    <w:p w14:paraId="3D0C117C" w14:textId="77777777" w:rsidR="00C5192C" w:rsidRDefault="00C5192C" w:rsidP="00C5192C">
      <w:pPr>
        <w:rPr>
          <w:rFonts w:ascii="Garamond" w:hAnsi="Garamond"/>
          <w:b/>
        </w:rPr>
      </w:pPr>
    </w:p>
    <w:p w14:paraId="1307A8B4" w14:textId="77777777" w:rsidR="00C5192C" w:rsidRDefault="00C5192C" w:rsidP="00C5192C">
      <w:r w:rsidRPr="0030096A">
        <w:rPr>
          <w:rFonts w:ascii="Garamond" w:hAnsi="Garamond"/>
          <w:b/>
        </w:rPr>
        <w:t>Nom de l’enseignant :</w:t>
      </w:r>
      <w:r>
        <w:t xml:space="preserve"> </w:t>
      </w:r>
    </w:p>
    <w:p w14:paraId="27DFAF06" w14:textId="77777777" w:rsidR="00C5192C" w:rsidRPr="0030096A" w:rsidRDefault="00C5192C" w:rsidP="00C5192C">
      <w:pPr>
        <w:rPr>
          <w:rFonts w:ascii="Garamond" w:hAnsi="Garamond"/>
        </w:rPr>
      </w:pPr>
      <w:r w:rsidRPr="0030096A">
        <w:rPr>
          <w:rFonts w:ascii="Garamond" w:hAnsi="Garamond"/>
        </w:rPr>
        <w:t>Adeline THOBIE</w:t>
      </w:r>
      <w:r>
        <w:rPr>
          <w:rFonts w:ascii="Garamond" w:hAnsi="Garamond"/>
        </w:rPr>
        <w:t xml:space="preserve">, </w:t>
      </w:r>
      <w:r w:rsidRPr="00781310">
        <w:rPr>
          <w:rFonts w:ascii="Garamond" w:eastAsia="Times New Roman" w:hAnsi="Garamond"/>
        </w:rPr>
        <w:t>Maître de conférences en Droit privé</w:t>
      </w:r>
    </w:p>
    <w:p w14:paraId="4B4A4468" w14:textId="77777777" w:rsidR="00C5192C" w:rsidRDefault="00C5192C" w:rsidP="00C5192C">
      <w:pPr>
        <w:rPr>
          <w:rFonts w:ascii="Garamond" w:hAnsi="Garamond"/>
          <w:b/>
        </w:rPr>
      </w:pPr>
      <w:bookmarkStart w:id="0" w:name="_GoBack"/>
      <w:bookmarkEnd w:id="0"/>
    </w:p>
    <w:p w14:paraId="7B2F31B4" w14:textId="77777777" w:rsidR="00C5192C" w:rsidRDefault="00C5192C" w:rsidP="00C5192C">
      <w:r w:rsidRPr="0030096A">
        <w:rPr>
          <w:rFonts w:ascii="Garamond" w:hAnsi="Garamond"/>
          <w:b/>
        </w:rPr>
        <w:t>Nombre d’heures :</w:t>
      </w:r>
      <w:r>
        <w:t xml:space="preserve"> </w:t>
      </w:r>
    </w:p>
    <w:p w14:paraId="5C92C41E" w14:textId="77777777" w:rsidR="00C5192C" w:rsidRPr="0030096A" w:rsidRDefault="00C5192C" w:rsidP="00C5192C">
      <w:pPr>
        <w:rPr>
          <w:rFonts w:ascii="Garamond" w:hAnsi="Garamond"/>
        </w:rPr>
      </w:pPr>
      <w:r>
        <w:rPr>
          <w:rFonts w:ascii="Garamond" w:hAnsi="Garamond"/>
        </w:rPr>
        <w:t>22H - Semestre 2</w:t>
      </w:r>
    </w:p>
    <w:p w14:paraId="057AAB50" w14:textId="77777777" w:rsidR="00C5192C" w:rsidRDefault="00C5192C" w:rsidP="00C5192C"/>
    <w:p w14:paraId="4E0ACB91" w14:textId="77777777" w:rsidR="00C5192C" w:rsidRDefault="00C5192C" w:rsidP="00C5192C">
      <w:pPr>
        <w:rPr>
          <w:rFonts w:ascii="Garamond" w:hAnsi="Garamond"/>
        </w:rPr>
      </w:pPr>
      <w:r w:rsidRPr="0030096A">
        <w:rPr>
          <w:rFonts w:ascii="Garamond" w:hAnsi="Garamond"/>
          <w:b/>
        </w:rPr>
        <w:t>Nature et forme de l’épreuve</w:t>
      </w:r>
      <w:r w:rsidRPr="0030096A">
        <w:rPr>
          <w:rFonts w:ascii="Garamond" w:hAnsi="Garamond"/>
        </w:rPr>
        <w:t xml:space="preserve"> : </w:t>
      </w:r>
    </w:p>
    <w:p w14:paraId="0F3059AA" w14:textId="77777777" w:rsidR="00C5192C" w:rsidRPr="0030096A" w:rsidRDefault="00C5192C" w:rsidP="00C5192C">
      <w:pPr>
        <w:rPr>
          <w:rFonts w:ascii="Garamond" w:hAnsi="Garamond"/>
        </w:rPr>
      </w:pPr>
      <w:r w:rsidRPr="00694634">
        <w:rPr>
          <w:rFonts w:ascii="Garamond" w:hAnsi="Garamond"/>
        </w:rPr>
        <w:t>Écrit 3H</w:t>
      </w:r>
    </w:p>
    <w:p w14:paraId="4CEC7605" w14:textId="77777777" w:rsidR="00C5192C" w:rsidRDefault="00C5192C" w:rsidP="00C5192C">
      <w:pPr>
        <w:rPr>
          <w:rFonts w:ascii="Garamond" w:hAnsi="Garamond"/>
        </w:rPr>
      </w:pPr>
    </w:p>
    <w:p w14:paraId="26787E8D" w14:textId="77777777" w:rsidR="00C5192C" w:rsidRPr="0034611F" w:rsidRDefault="00C5192C" w:rsidP="00C5192C">
      <w:pPr>
        <w:rPr>
          <w:rFonts w:ascii="Garamond" w:hAnsi="Garamond"/>
          <w:b/>
        </w:rPr>
      </w:pPr>
      <w:r w:rsidRPr="0034611F">
        <w:rPr>
          <w:rFonts w:ascii="Garamond" w:hAnsi="Garamond"/>
          <w:b/>
        </w:rPr>
        <w:t>Descriptif du cours :</w:t>
      </w:r>
    </w:p>
    <w:p w14:paraId="196FBE6D" w14:textId="30F69BD2" w:rsidR="0034611F" w:rsidRPr="00696CED" w:rsidRDefault="00C5192C" w:rsidP="00C5192C">
      <w:pPr>
        <w:jc w:val="both"/>
        <w:rPr>
          <w:rFonts w:ascii="Garamond" w:hAnsi="Garamond"/>
        </w:rPr>
      </w:pPr>
      <w:r w:rsidRPr="00696CED">
        <w:rPr>
          <w:rFonts w:ascii="Garamond" w:hAnsi="Garamond"/>
        </w:rPr>
        <w:t xml:space="preserve">L’objectif du cours est d’étudier </w:t>
      </w:r>
      <w:r w:rsidR="0034611F" w:rsidRPr="00696CED">
        <w:rPr>
          <w:rFonts w:ascii="Garamond" w:hAnsi="Garamond"/>
        </w:rPr>
        <w:t xml:space="preserve">comment le droit </w:t>
      </w:r>
      <w:r w:rsidR="00663B00" w:rsidRPr="00696CED">
        <w:rPr>
          <w:rFonts w:ascii="Garamond" w:hAnsi="Garamond"/>
        </w:rPr>
        <w:t>préserve</w:t>
      </w:r>
      <w:r w:rsidR="00007C84">
        <w:rPr>
          <w:rFonts w:ascii="Garamond" w:hAnsi="Garamond"/>
        </w:rPr>
        <w:t xml:space="preserve"> et encadre</w:t>
      </w:r>
      <w:r w:rsidR="0034611F" w:rsidRPr="00696CED">
        <w:rPr>
          <w:rFonts w:ascii="Garamond" w:hAnsi="Garamond"/>
        </w:rPr>
        <w:t xml:space="preserve"> l</w:t>
      </w:r>
      <w:r w:rsidR="00007C84">
        <w:rPr>
          <w:rFonts w:ascii="Garamond" w:hAnsi="Garamond"/>
        </w:rPr>
        <w:t xml:space="preserve">e jeu </w:t>
      </w:r>
      <w:r w:rsidR="0034611F" w:rsidRPr="00696CED">
        <w:rPr>
          <w:rFonts w:ascii="Garamond" w:hAnsi="Garamond"/>
        </w:rPr>
        <w:t>concurren</w:t>
      </w:r>
      <w:r w:rsidR="00007C84">
        <w:rPr>
          <w:rFonts w:ascii="Garamond" w:hAnsi="Garamond"/>
        </w:rPr>
        <w:t>tiel</w:t>
      </w:r>
      <w:r w:rsidR="00663B00" w:rsidRPr="00696CED">
        <w:rPr>
          <w:rFonts w:ascii="Garamond" w:hAnsi="Garamond"/>
        </w:rPr>
        <w:t xml:space="preserve"> </w:t>
      </w:r>
      <w:r w:rsidR="0034611F" w:rsidRPr="00696CED">
        <w:rPr>
          <w:rFonts w:ascii="Garamond" w:hAnsi="Garamond"/>
        </w:rPr>
        <w:t xml:space="preserve">afin </w:t>
      </w:r>
      <w:r w:rsidR="00696CED" w:rsidRPr="00696CED">
        <w:rPr>
          <w:rFonts w:ascii="Garamond" w:hAnsi="Garamond"/>
        </w:rPr>
        <w:t>d’</w:t>
      </w:r>
      <w:r w:rsidR="00663B00" w:rsidRPr="00696CED">
        <w:rPr>
          <w:rFonts w:ascii="Garamond" w:hAnsi="Garamond"/>
        </w:rPr>
        <w:t>assurer une compétition économique loyale entre l’ensemble des acteurs</w:t>
      </w:r>
      <w:r w:rsidR="00696CED" w:rsidRPr="00696CED">
        <w:rPr>
          <w:rFonts w:ascii="Garamond" w:hAnsi="Garamond"/>
        </w:rPr>
        <w:t xml:space="preserve"> et de protéger, plus globalement, </w:t>
      </w:r>
      <w:r w:rsidR="009B2E61">
        <w:rPr>
          <w:rFonts w:ascii="Garamond" w:hAnsi="Garamond"/>
        </w:rPr>
        <w:t xml:space="preserve">les consommateurs et </w:t>
      </w:r>
      <w:r w:rsidR="00696CED" w:rsidRPr="00696CED">
        <w:rPr>
          <w:rFonts w:ascii="Garamond" w:hAnsi="Garamond"/>
        </w:rPr>
        <w:t>l’intérêt général.</w:t>
      </w:r>
    </w:p>
    <w:p w14:paraId="5E3DF06E" w14:textId="5095E759" w:rsidR="00696CED" w:rsidRPr="00696CED" w:rsidRDefault="00696CED" w:rsidP="00696CED">
      <w:pPr>
        <w:jc w:val="both"/>
        <w:rPr>
          <w:rFonts w:ascii="Garamond" w:hAnsi="Garamond"/>
        </w:rPr>
      </w:pPr>
      <w:r w:rsidRPr="00696CED">
        <w:rPr>
          <w:rFonts w:ascii="Garamond" w:hAnsi="Garamond"/>
        </w:rPr>
        <w:t xml:space="preserve">C’est tout l’objet du droit de la concurrence, matière hybride, au carrefour du droit privé et public, </w:t>
      </w:r>
      <w:r w:rsidR="00395DB4">
        <w:rPr>
          <w:rFonts w:ascii="Garamond" w:hAnsi="Garamond"/>
        </w:rPr>
        <w:t>ainsi que</w:t>
      </w:r>
      <w:r w:rsidR="0010274B">
        <w:rPr>
          <w:rFonts w:ascii="Garamond" w:hAnsi="Garamond"/>
        </w:rPr>
        <w:t xml:space="preserve"> du droit </w:t>
      </w:r>
      <w:r w:rsidRPr="00696CED">
        <w:rPr>
          <w:rFonts w:ascii="Garamond" w:hAnsi="Garamond"/>
        </w:rPr>
        <w:t>interne, européen et international</w:t>
      </w:r>
      <w:r w:rsidR="00395DB4">
        <w:rPr>
          <w:rFonts w:ascii="Garamond" w:hAnsi="Garamond"/>
        </w:rPr>
        <w:t xml:space="preserve"> (liberté de concurrence ; liberté d’entreprendre ; liberté de circulation des personnes, capitaux et marchandises)</w:t>
      </w:r>
      <w:r w:rsidRPr="00696CED">
        <w:rPr>
          <w:rFonts w:ascii="Garamond" w:hAnsi="Garamond"/>
        </w:rPr>
        <w:t xml:space="preserve">. </w:t>
      </w:r>
      <w:r w:rsidR="00395DB4">
        <w:rPr>
          <w:rFonts w:ascii="Garamond" w:hAnsi="Garamond"/>
        </w:rPr>
        <w:t>L</w:t>
      </w:r>
      <w:r w:rsidRPr="00696CED">
        <w:rPr>
          <w:rFonts w:ascii="Garamond" w:hAnsi="Garamond"/>
        </w:rPr>
        <w:t>e droit de la concurrence vise à protéger tant les intérêts privés des entreprises que l’intérêt général du marché.</w:t>
      </w:r>
    </w:p>
    <w:p w14:paraId="2ED7DE6C" w14:textId="5B8870BE" w:rsidR="0034611F" w:rsidRPr="00696CED" w:rsidRDefault="0034611F" w:rsidP="0034611F">
      <w:pPr>
        <w:jc w:val="both"/>
        <w:rPr>
          <w:rFonts w:ascii="Garamond" w:hAnsi="Garamond"/>
        </w:rPr>
      </w:pPr>
      <w:r w:rsidRPr="00696CED">
        <w:rPr>
          <w:rFonts w:ascii="Garamond" w:hAnsi="Garamond"/>
        </w:rPr>
        <w:t xml:space="preserve">La </w:t>
      </w:r>
      <w:r w:rsidRPr="00696CED">
        <w:rPr>
          <w:rFonts w:ascii="Garamond" w:hAnsi="Garamond"/>
          <w:b/>
          <w:bCs/>
        </w:rPr>
        <w:t>protection de l’entreprise</w:t>
      </w:r>
      <w:r w:rsidRPr="00696CED">
        <w:rPr>
          <w:rFonts w:ascii="Garamond" w:hAnsi="Garamond"/>
        </w:rPr>
        <w:t xml:space="preserve"> </w:t>
      </w:r>
      <w:r w:rsidR="00375D5F" w:rsidRPr="00696CED">
        <w:rPr>
          <w:rFonts w:ascii="Garamond" w:hAnsi="Garamond"/>
        </w:rPr>
        <w:t xml:space="preserve">relève essentiellement du droit interne. </w:t>
      </w:r>
      <w:r w:rsidR="007C6BED">
        <w:rPr>
          <w:rFonts w:ascii="Garamond" w:hAnsi="Garamond"/>
          <w:color w:val="000000" w:themeColor="text1"/>
        </w:rPr>
        <w:t>Le droit de la concurrence</w:t>
      </w:r>
      <w:r w:rsidR="000164A2">
        <w:rPr>
          <w:rFonts w:ascii="Garamond" w:hAnsi="Garamond"/>
          <w:color w:val="000000" w:themeColor="text1"/>
        </w:rPr>
        <w:t xml:space="preserve"> se décline ici en un « droit des concurrents »</w:t>
      </w:r>
      <w:r w:rsidR="009B2E61">
        <w:rPr>
          <w:rFonts w:ascii="Garamond" w:hAnsi="Garamond"/>
          <w:color w:val="000000" w:themeColor="text1"/>
        </w:rPr>
        <w:t xml:space="preserve"> (</w:t>
      </w:r>
      <w:r w:rsidR="009B2E61" w:rsidRPr="009B2E61">
        <w:rPr>
          <w:rFonts w:ascii="Garamond" w:hAnsi="Garamond"/>
          <w:i/>
          <w:iCs/>
          <w:color w:val="000000" w:themeColor="text1"/>
        </w:rPr>
        <w:t>aspect</w:t>
      </w:r>
      <w:r w:rsidR="009B2E61">
        <w:rPr>
          <w:rFonts w:ascii="Garamond" w:hAnsi="Garamond"/>
          <w:color w:val="000000" w:themeColor="text1"/>
        </w:rPr>
        <w:t xml:space="preserve"> </w:t>
      </w:r>
      <w:r w:rsidR="009B2E61" w:rsidRPr="009B2E61">
        <w:rPr>
          <w:rFonts w:ascii="Garamond" w:hAnsi="Garamond"/>
          <w:i/>
          <w:iCs/>
          <w:color w:val="000000" w:themeColor="text1"/>
        </w:rPr>
        <w:t>micro-économique</w:t>
      </w:r>
      <w:r w:rsidR="009B2E61">
        <w:rPr>
          <w:rFonts w:ascii="Garamond" w:hAnsi="Garamond"/>
          <w:color w:val="000000" w:themeColor="text1"/>
        </w:rPr>
        <w:t>)</w:t>
      </w:r>
      <w:r w:rsidR="000164A2">
        <w:rPr>
          <w:rFonts w:ascii="Garamond" w:hAnsi="Garamond"/>
          <w:color w:val="000000" w:themeColor="text1"/>
        </w:rPr>
        <w:t>. Ce droit</w:t>
      </w:r>
      <w:r w:rsidR="007C6BED">
        <w:rPr>
          <w:rFonts w:ascii="Garamond" w:hAnsi="Garamond"/>
          <w:color w:val="000000" w:themeColor="text1"/>
        </w:rPr>
        <w:t xml:space="preserve"> s’intéresse ici aux relations entre les acteurs économiques et vise à imposer des comportements respect</w:t>
      </w:r>
      <w:r w:rsidR="00635FCB">
        <w:rPr>
          <w:rFonts w:ascii="Garamond" w:hAnsi="Garamond"/>
          <w:color w:val="000000" w:themeColor="text1"/>
        </w:rPr>
        <w:t>ueux de</w:t>
      </w:r>
      <w:r w:rsidR="007C6BED">
        <w:rPr>
          <w:rFonts w:ascii="Garamond" w:hAnsi="Garamond"/>
          <w:color w:val="000000" w:themeColor="text1"/>
        </w:rPr>
        <w:t xml:space="preserve"> la libre concurrence</w:t>
      </w:r>
      <w:r w:rsidR="00635FCB">
        <w:rPr>
          <w:rFonts w:ascii="Garamond" w:hAnsi="Garamond"/>
          <w:color w:val="000000" w:themeColor="text1"/>
        </w:rPr>
        <w:t>. Moraliser, réguler, encadrer : voici les objectifs du droit des concurrents</w:t>
      </w:r>
      <w:r w:rsidR="007C6BED">
        <w:rPr>
          <w:rFonts w:ascii="Garamond" w:hAnsi="Garamond"/>
          <w:color w:val="000000" w:themeColor="text1"/>
        </w:rPr>
        <w:t xml:space="preserve">. </w:t>
      </w:r>
      <w:r w:rsidR="00635FCB">
        <w:rPr>
          <w:rFonts w:ascii="Garamond" w:hAnsi="Garamond"/>
          <w:color w:val="000000" w:themeColor="text1"/>
        </w:rPr>
        <w:t>Pour ce faire, d</w:t>
      </w:r>
      <w:r w:rsidR="0010274B" w:rsidRPr="0010274B">
        <w:rPr>
          <w:rFonts w:ascii="Garamond" w:hAnsi="Garamond"/>
          <w:color w:val="000000" w:themeColor="text1"/>
        </w:rPr>
        <w:t>es actions spécifiques (concurrence</w:t>
      </w:r>
      <w:r w:rsidR="0010274B" w:rsidRPr="00696CED">
        <w:rPr>
          <w:rFonts w:ascii="Garamond" w:hAnsi="Garamond"/>
        </w:rPr>
        <w:t xml:space="preserve"> déloyale – pratiques restrictives – transparence)</w:t>
      </w:r>
      <w:r w:rsidR="0010274B">
        <w:rPr>
          <w:rFonts w:ascii="Garamond" w:hAnsi="Garamond"/>
        </w:rPr>
        <w:t xml:space="preserve"> ont été spécialement créées afin de </w:t>
      </w:r>
      <w:r w:rsidR="007C6BED">
        <w:rPr>
          <w:rFonts w:ascii="Garamond" w:hAnsi="Garamond"/>
        </w:rPr>
        <w:t xml:space="preserve">sanctionner les dérives. Ces actions viennent ainsi utilement </w:t>
      </w:r>
      <w:r w:rsidR="0010274B">
        <w:rPr>
          <w:rFonts w:ascii="Garamond" w:hAnsi="Garamond"/>
        </w:rPr>
        <w:t>compléter les dispositifs existants en droit des contrats ou en droit de la responsabilité</w:t>
      </w:r>
      <w:r w:rsidR="00696CED" w:rsidRPr="00696CED">
        <w:rPr>
          <w:rFonts w:ascii="Garamond" w:hAnsi="Garamond"/>
        </w:rPr>
        <w:t xml:space="preserve">. </w:t>
      </w:r>
    </w:p>
    <w:p w14:paraId="2A7CA21D" w14:textId="744A4E7A" w:rsidR="0034611F" w:rsidRPr="0034611F" w:rsidRDefault="0034611F" w:rsidP="0034611F">
      <w:pPr>
        <w:jc w:val="both"/>
        <w:rPr>
          <w:rFonts w:ascii="Garamond" w:hAnsi="Garamond"/>
        </w:rPr>
      </w:pPr>
      <w:r w:rsidRPr="00696CED">
        <w:rPr>
          <w:rFonts w:ascii="Garamond" w:hAnsi="Garamond"/>
        </w:rPr>
        <w:t xml:space="preserve">La </w:t>
      </w:r>
      <w:r w:rsidRPr="00696CED">
        <w:rPr>
          <w:rFonts w:ascii="Garamond" w:hAnsi="Garamond"/>
          <w:b/>
          <w:bCs/>
        </w:rPr>
        <w:t>protection du marché</w:t>
      </w:r>
      <w:r w:rsidR="00375D5F" w:rsidRPr="00696CED">
        <w:rPr>
          <w:rFonts w:ascii="Garamond" w:hAnsi="Garamond"/>
        </w:rPr>
        <w:t>, quant à elle, est organisée par le droit européen et français.</w:t>
      </w:r>
      <w:r w:rsidRPr="00696CED">
        <w:rPr>
          <w:rFonts w:ascii="Garamond" w:hAnsi="Garamond"/>
        </w:rPr>
        <w:t xml:space="preserve"> </w:t>
      </w:r>
      <w:r w:rsidR="00635FCB">
        <w:rPr>
          <w:rFonts w:ascii="Garamond" w:hAnsi="Garamond"/>
        </w:rPr>
        <w:t>Le droit de la concurrence se mue ici en un « droit des marchés concurrentiels »</w:t>
      </w:r>
      <w:r w:rsidR="009B2E61">
        <w:rPr>
          <w:rFonts w:ascii="Garamond" w:hAnsi="Garamond"/>
        </w:rPr>
        <w:t xml:space="preserve"> (</w:t>
      </w:r>
      <w:r w:rsidR="009B2E61" w:rsidRPr="009B2E61">
        <w:rPr>
          <w:rFonts w:ascii="Garamond" w:hAnsi="Garamond"/>
          <w:i/>
          <w:iCs/>
        </w:rPr>
        <w:t>aspect macro-économique</w:t>
      </w:r>
      <w:r w:rsidR="009B2E61">
        <w:rPr>
          <w:rFonts w:ascii="Garamond" w:hAnsi="Garamond"/>
        </w:rPr>
        <w:t>)</w:t>
      </w:r>
      <w:r w:rsidR="00635FCB">
        <w:rPr>
          <w:rFonts w:ascii="Garamond" w:hAnsi="Garamond"/>
        </w:rPr>
        <w:t xml:space="preserve">. </w:t>
      </w:r>
      <w:r w:rsidR="00375D5F" w:rsidRPr="00696CED">
        <w:rPr>
          <w:rFonts w:ascii="Garamond" w:hAnsi="Garamond"/>
        </w:rPr>
        <w:t>L’</w:t>
      </w:r>
      <w:r w:rsidRPr="00696CED">
        <w:rPr>
          <w:rFonts w:ascii="Garamond" w:hAnsi="Garamond"/>
        </w:rPr>
        <w:t xml:space="preserve">objectif est ici de veiller </w:t>
      </w:r>
      <w:r w:rsidR="00696CED" w:rsidRPr="00696CED">
        <w:rPr>
          <w:rFonts w:ascii="Garamond" w:hAnsi="Garamond"/>
        </w:rPr>
        <w:t>au maintien d’</w:t>
      </w:r>
      <w:r w:rsidRPr="00696CED">
        <w:rPr>
          <w:rFonts w:ascii="Garamond" w:hAnsi="Garamond"/>
        </w:rPr>
        <w:t>une concurrence libre</w:t>
      </w:r>
      <w:r w:rsidR="00696CED" w:rsidRPr="00696CED">
        <w:rPr>
          <w:rFonts w:ascii="Garamond" w:hAnsi="Garamond"/>
        </w:rPr>
        <w:t xml:space="preserve"> afin d’assurer plus largement l’intérêt général (pratiques anticoncurrentielles – concentrations économiques – interventions publiques)</w:t>
      </w:r>
    </w:p>
    <w:p w14:paraId="11D28908" w14:textId="143CFE4C" w:rsidR="00C5192C" w:rsidRPr="00C5192C" w:rsidRDefault="00C5192C" w:rsidP="00C5192C">
      <w:pPr>
        <w:jc w:val="both"/>
        <w:rPr>
          <w:rFonts w:ascii="Garamond" w:hAnsi="Garamond"/>
          <w:highlight w:val="yellow"/>
        </w:rPr>
      </w:pPr>
    </w:p>
    <w:p w14:paraId="6B04B25A" w14:textId="58EFE525" w:rsidR="00C5192C" w:rsidRPr="00B42EDD" w:rsidRDefault="000B5734" w:rsidP="00C5192C">
      <w:pPr>
        <w:rPr>
          <w:rFonts w:ascii="Garamond" w:hAnsi="Garamond"/>
          <w:b/>
        </w:rPr>
      </w:pPr>
      <w:r>
        <w:rPr>
          <w:rFonts w:ascii="Garamond" w:hAnsi="Garamond"/>
          <w:b/>
        </w:rPr>
        <w:t>10</w:t>
      </w:r>
      <w:r w:rsidR="006B2561" w:rsidRPr="00091886">
        <w:rPr>
          <w:rFonts w:ascii="Garamond" w:hAnsi="Garamond"/>
          <w:b/>
        </w:rPr>
        <w:t xml:space="preserve"> </w:t>
      </w:r>
      <w:r w:rsidR="00C5192C" w:rsidRPr="00091886">
        <w:rPr>
          <w:rFonts w:ascii="Garamond" w:hAnsi="Garamond"/>
          <w:b/>
        </w:rPr>
        <w:t xml:space="preserve">thèmes fondamentaux </w:t>
      </w:r>
      <w:r w:rsidR="009B2E61">
        <w:rPr>
          <w:rFonts w:ascii="Garamond" w:hAnsi="Garamond"/>
          <w:b/>
        </w:rPr>
        <w:t xml:space="preserve">sont </w:t>
      </w:r>
      <w:r w:rsidR="00C5192C" w:rsidRPr="00091886">
        <w:rPr>
          <w:rFonts w:ascii="Garamond" w:hAnsi="Garamond"/>
          <w:b/>
        </w:rPr>
        <w:t>abordés en cours</w:t>
      </w:r>
      <w:r w:rsidR="000B7081">
        <w:rPr>
          <w:rFonts w:ascii="Garamond" w:hAnsi="Garamond"/>
          <w:b/>
        </w:rPr>
        <w:t xml:space="preserve"> et au travers de cas pratiques</w:t>
      </w:r>
      <w:r w:rsidR="00C5192C" w:rsidRPr="00091886">
        <w:rPr>
          <w:rFonts w:ascii="Garamond" w:hAnsi="Garamond"/>
          <w:b/>
        </w:rPr>
        <w:t> :</w:t>
      </w:r>
    </w:p>
    <w:p w14:paraId="00FFAA87" w14:textId="151C868F" w:rsidR="006B2561" w:rsidRPr="006B2561" w:rsidRDefault="006B2561" w:rsidP="00C5192C">
      <w:pPr>
        <w:pStyle w:val="Paragraphedeliste"/>
        <w:numPr>
          <w:ilvl w:val="0"/>
          <w:numId w:val="5"/>
        </w:numPr>
        <w:jc w:val="both"/>
        <w:rPr>
          <w:rFonts w:ascii="Garamond" w:hAnsi="Garamond"/>
        </w:rPr>
      </w:pPr>
      <w:r w:rsidRPr="006B2561">
        <w:rPr>
          <w:rFonts w:ascii="Garamond" w:hAnsi="Garamond"/>
        </w:rPr>
        <w:t>L’action en concurrence déloyale</w:t>
      </w:r>
    </w:p>
    <w:p w14:paraId="0262EBD4" w14:textId="6F360578" w:rsidR="006B2561" w:rsidRPr="006B2561" w:rsidRDefault="00C1225D" w:rsidP="00C5192C">
      <w:pPr>
        <w:pStyle w:val="Paragraphedeliste"/>
        <w:numPr>
          <w:ilvl w:val="0"/>
          <w:numId w:val="5"/>
        </w:num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La concurrence </w:t>
      </w:r>
      <w:r w:rsidR="006D526E">
        <w:rPr>
          <w:rFonts w:ascii="Garamond" w:hAnsi="Garamond"/>
        </w:rPr>
        <w:t xml:space="preserve">légalement ou contractuellement </w:t>
      </w:r>
      <w:r>
        <w:rPr>
          <w:rFonts w:ascii="Garamond" w:hAnsi="Garamond"/>
        </w:rPr>
        <w:t>encadrée</w:t>
      </w:r>
    </w:p>
    <w:p w14:paraId="4D706117" w14:textId="727F340A" w:rsidR="00091886" w:rsidRDefault="00091886" w:rsidP="00C5192C">
      <w:pPr>
        <w:pStyle w:val="Paragraphedeliste"/>
        <w:numPr>
          <w:ilvl w:val="0"/>
          <w:numId w:val="5"/>
        </w:numPr>
        <w:jc w:val="both"/>
        <w:rPr>
          <w:rFonts w:ascii="Garamond" w:hAnsi="Garamond"/>
        </w:rPr>
      </w:pPr>
      <w:r>
        <w:rPr>
          <w:rFonts w:ascii="Garamond" w:hAnsi="Garamond"/>
        </w:rPr>
        <w:t>La transparence des pratiques : conditions générales de vente, facturation et délais de paiement</w:t>
      </w:r>
    </w:p>
    <w:p w14:paraId="14FC4CC3" w14:textId="620F0DC0" w:rsidR="00091886" w:rsidRPr="00715E61" w:rsidRDefault="00091886" w:rsidP="00C5192C">
      <w:pPr>
        <w:pStyle w:val="Paragraphedeliste"/>
        <w:numPr>
          <w:ilvl w:val="0"/>
          <w:numId w:val="5"/>
        </w:numPr>
        <w:jc w:val="both"/>
        <w:rPr>
          <w:rFonts w:ascii="Garamond" w:hAnsi="Garamond"/>
        </w:rPr>
      </w:pPr>
      <w:r w:rsidRPr="00715E61">
        <w:rPr>
          <w:rFonts w:ascii="Garamond" w:hAnsi="Garamond"/>
        </w:rPr>
        <w:t>Les pratiques tarifaires déloyales entre entreprise : contrôle des prix</w:t>
      </w:r>
    </w:p>
    <w:p w14:paraId="374CFE15" w14:textId="1506DB2A" w:rsidR="00971264" w:rsidRPr="00715E61" w:rsidRDefault="00971264" w:rsidP="00971264">
      <w:pPr>
        <w:pStyle w:val="Paragraphedeliste"/>
        <w:numPr>
          <w:ilvl w:val="0"/>
          <w:numId w:val="5"/>
        </w:numPr>
        <w:jc w:val="both"/>
        <w:rPr>
          <w:rFonts w:ascii="Garamond" w:hAnsi="Garamond"/>
        </w:rPr>
      </w:pPr>
      <w:r w:rsidRPr="00715E61">
        <w:rPr>
          <w:rFonts w:ascii="Garamond" w:hAnsi="Garamond"/>
        </w:rPr>
        <w:t>Les pratiques restrictives de concurrence</w:t>
      </w:r>
    </w:p>
    <w:p w14:paraId="43129D78" w14:textId="1D543E85" w:rsidR="00971264" w:rsidRPr="00971264" w:rsidRDefault="00971264" w:rsidP="00971264">
      <w:pPr>
        <w:pStyle w:val="Paragraphedeliste"/>
        <w:numPr>
          <w:ilvl w:val="0"/>
          <w:numId w:val="5"/>
        </w:numPr>
        <w:jc w:val="both"/>
        <w:rPr>
          <w:rFonts w:ascii="Garamond" w:hAnsi="Garamond"/>
        </w:rPr>
      </w:pPr>
      <w:r w:rsidRPr="006B2561">
        <w:rPr>
          <w:rFonts w:ascii="Garamond" w:hAnsi="Garamond"/>
        </w:rPr>
        <w:t xml:space="preserve">Les </w:t>
      </w:r>
      <w:r w:rsidRPr="00971264">
        <w:rPr>
          <w:rFonts w:ascii="Garamond" w:hAnsi="Garamond"/>
        </w:rPr>
        <w:t>concentrations et le contrôle de la puissance d’achat</w:t>
      </w:r>
    </w:p>
    <w:p w14:paraId="43EF3B59" w14:textId="18DEA6A5" w:rsidR="00971264" w:rsidRPr="00971264" w:rsidRDefault="00971264" w:rsidP="00971264">
      <w:pPr>
        <w:pStyle w:val="Paragraphedeliste"/>
        <w:numPr>
          <w:ilvl w:val="0"/>
          <w:numId w:val="5"/>
        </w:numPr>
        <w:jc w:val="both"/>
        <w:rPr>
          <w:rFonts w:ascii="Garamond" w:hAnsi="Garamond"/>
        </w:rPr>
      </w:pPr>
      <w:r w:rsidRPr="00971264">
        <w:rPr>
          <w:rFonts w:ascii="Garamond" w:hAnsi="Garamond"/>
        </w:rPr>
        <w:t xml:space="preserve">Les ententes entre entreprises </w:t>
      </w:r>
    </w:p>
    <w:p w14:paraId="3A230586" w14:textId="6F88D089" w:rsidR="00971264" w:rsidRPr="00971264" w:rsidRDefault="00971264" w:rsidP="00971264">
      <w:pPr>
        <w:pStyle w:val="Paragraphedeliste"/>
        <w:numPr>
          <w:ilvl w:val="0"/>
          <w:numId w:val="5"/>
        </w:numPr>
        <w:jc w:val="both"/>
        <w:rPr>
          <w:rFonts w:ascii="Garamond" w:hAnsi="Garamond"/>
        </w:rPr>
      </w:pPr>
      <w:r w:rsidRPr="00971264">
        <w:rPr>
          <w:rFonts w:ascii="Garamond" w:hAnsi="Garamond"/>
        </w:rPr>
        <w:t>Les abus de position dominante</w:t>
      </w:r>
    </w:p>
    <w:p w14:paraId="30ABB580" w14:textId="3198087C" w:rsidR="00971264" w:rsidRDefault="00971264" w:rsidP="00971264">
      <w:pPr>
        <w:pStyle w:val="Paragraphedeliste"/>
        <w:numPr>
          <w:ilvl w:val="0"/>
          <w:numId w:val="5"/>
        </w:numPr>
        <w:jc w:val="both"/>
        <w:rPr>
          <w:rFonts w:ascii="Garamond" w:hAnsi="Garamond"/>
        </w:rPr>
      </w:pPr>
      <w:r w:rsidRPr="00971264">
        <w:rPr>
          <w:rFonts w:ascii="Garamond" w:hAnsi="Garamond"/>
        </w:rPr>
        <w:t>Les abus de dépendance économique</w:t>
      </w:r>
    </w:p>
    <w:p w14:paraId="308A40DC" w14:textId="260211E3" w:rsidR="000B5734" w:rsidRPr="00971264" w:rsidRDefault="000B5734" w:rsidP="00971264">
      <w:pPr>
        <w:pStyle w:val="Paragraphedeliste"/>
        <w:numPr>
          <w:ilvl w:val="0"/>
          <w:numId w:val="5"/>
        </w:numPr>
        <w:jc w:val="both"/>
        <w:rPr>
          <w:rFonts w:ascii="Garamond" w:hAnsi="Garamond"/>
        </w:rPr>
      </w:pPr>
      <w:r>
        <w:rPr>
          <w:rFonts w:ascii="Garamond" w:hAnsi="Garamond"/>
        </w:rPr>
        <w:t>Les aides d’état</w:t>
      </w:r>
    </w:p>
    <w:p w14:paraId="66056194" w14:textId="77777777" w:rsidR="0020415E" w:rsidRPr="0020415E" w:rsidRDefault="0020415E" w:rsidP="00971264">
      <w:pPr>
        <w:jc w:val="both"/>
        <w:rPr>
          <w:rFonts w:ascii="Garamond" w:hAnsi="Garamond"/>
          <w:b/>
        </w:rPr>
      </w:pPr>
    </w:p>
    <w:p w14:paraId="20EDBF46" w14:textId="03A4480A" w:rsidR="00C5192C" w:rsidRDefault="00C5192C" w:rsidP="00C5192C">
      <w:pPr>
        <w:rPr>
          <w:rFonts w:ascii="Garamond" w:hAnsi="Garamond"/>
          <w:b/>
        </w:rPr>
      </w:pPr>
      <w:r w:rsidRPr="0030096A">
        <w:rPr>
          <w:rFonts w:ascii="Garamond" w:hAnsi="Garamond"/>
          <w:b/>
        </w:rPr>
        <w:t>Objectifs d’apprentissage :</w:t>
      </w:r>
    </w:p>
    <w:p w14:paraId="5BCFA164" w14:textId="77777777" w:rsidR="00C5192C" w:rsidRDefault="00C5192C" w:rsidP="00C5192C">
      <w:pPr>
        <w:rPr>
          <w:rFonts w:ascii="Garamond" w:hAnsi="Garamond"/>
        </w:rPr>
      </w:pPr>
      <w:r>
        <w:rPr>
          <w:rFonts w:ascii="Garamond" w:hAnsi="Garamond"/>
        </w:rPr>
        <w:t>Le cours dispensé permettra aux étudiants d’atteindre les objectifs suivants :</w:t>
      </w:r>
    </w:p>
    <w:p w14:paraId="476F65AD" w14:textId="77777777" w:rsidR="00C5192C" w:rsidRDefault="00C5192C" w:rsidP="00C5192C">
      <w:pPr>
        <w:rPr>
          <w:rFonts w:ascii="Garamond" w:hAnsi="Garamond"/>
        </w:rPr>
      </w:pPr>
    </w:p>
    <w:p w14:paraId="179C6A5A" w14:textId="77777777" w:rsidR="00C5192C" w:rsidRPr="00395DB4" w:rsidRDefault="00C5192C" w:rsidP="00C5192C">
      <w:pPr>
        <w:rPr>
          <w:rFonts w:ascii="Garamond" w:hAnsi="Garamond"/>
        </w:rPr>
      </w:pPr>
      <w:r w:rsidRPr="00395DB4">
        <w:rPr>
          <w:rFonts w:ascii="Garamond" w:hAnsi="Garamond"/>
        </w:rPr>
        <w:t>1°/ Objectifs de fond :</w:t>
      </w:r>
    </w:p>
    <w:p w14:paraId="66A8C3A1" w14:textId="252CF67F" w:rsidR="00C5192C" w:rsidRPr="00395DB4" w:rsidRDefault="00C5192C" w:rsidP="00C5192C">
      <w:pPr>
        <w:pStyle w:val="Paragraphedeliste"/>
        <w:numPr>
          <w:ilvl w:val="0"/>
          <w:numId w:val="1"/>
        </w:numPr>
        <w:rPr>
          <w:rFonts w:ascii="Garamond" w:hAnsi="Garamond"/>
        </w:rPr>
      </w:pPr>
      <w:r w:rsidRPr="00395DB4">
        <w:rPr>
          <w:rFonts w:ascii="Garamond" w:hAnsi="Garamond"/>
        </w:rPr>
        <w:t>Définir et maîtriser les notions clefs ;</w:t>
      </w:r>
    </w:p>
    <w:p w14:paraId="48F92E4B" w14:textId="187232EC" w:rsidR="00395DB4" w:rsidRPr="00395DB4" w:rsidRDefault="00395DB4" w:rsidP="009B2E61">
      <w:pPr>
        <w:pStyle w:val="Paragraphedeliste"/>
        <w:numPr>
          <w:ilvl w:val="0"/>
          <w:numId w:val="1"/>
        </w:numPr>
        <w:jc w:val="both"/>
        <w:rPr>
          <w:rFonts w:ascii="Garamond" w:hAnsi="Garamond"/>
        </w:rPr>
      </w:pPr>
      <w:r w:rsidRPr="00395DB4">
        <w:rPr>
          <w:rFonts w:ascii="Garamond" w:hAnsi="Garamond"/>
        </w:rPr>
        <w:t>Distinguer ce qui relève de la protection de l’entreprise et ce qui relève de la protection du marché</w:t>
      </w:r>
      <w:r>
        <w:rPr>
          <w:rFonts w:ascii="Garamond" w:hAnsi="Garamond"/>
        </w:rPr>
        <w:t> ;</w:t>
      </w:r>
    </w:p>
    <w:p w14:paraId="21CDCC67" w14:textId="6FA6F02A" w:rsidR="00395DB4" w:rsidRPr="009B2E61" w:rsidRDefault="00395DB4" w:rsidP="009B2E61">
      <w:pPr>
        <w:pStyle w:val="Paragraphedeliste"/>
        <w:numPr>
          <w:ilvl w:val="0"/>
          <w:numId w:val="1"/>
        </w:numPr>
        <w:jc w:val="both"/>
        <w:rPr>
          <w:rFonts w:ascii="Garamond" w:hAnsi="Garamond"/>
        </w:rPr>
      </w:pPr>
      <w:r w:rsidRPr="00395DB4">
        <w:rPr>
          <w:rFonts w:ascii="Garamond" w:hAnsi="Garamond"/>
        </w:rPr>
        <w:t>Connaître les différentes autorités de contrôle et de régulation</w:t>
      </w:r>
      <w:r w:rsidR="009B2E61">
        <w:rPr>
          <w:rFonts w:ascii="Garamond" w:hAnsi="Garamond"/>
        </w:rPr>
        <w:t xml:space="preserve"> et s</w:t>
      </w:r>
      <w:r w:rsidRPr="009B2E61">
        <w:rPr>
          <w:rFonts w:ascii="Garamond" w:hAnsi="Garamond"/>
        </w:rPr>
        <w:t>’initier aux pouvoirs d’enquêtes, de contrôle et de sanction de l’Autorité de la concurrence et de la commission européenne</w:t>
      </w:r>
      <w:r w:rsidR="00DC3C63">
        <w:rPr>
          <w:rFonts w:ascii="Garamond" w:hAnsi="Garamond"/>
        </w:rPr>
        <w:t>. </w:t>
      </w:r>
    </w:p>
    <w:p w14:paraId="0D6415DB" w14:textId="77777777" w:rsidR="00C5192C" w:rsidRPr="00C5192C" w:rsidRDefault="00C5192C" w:rsidP="00C5192C">
      <w:pPr>
        <w:rPr>
          <w:rFonts w:ascii="Garamond" w:hAnsi="Garamond"/>
          <w:highlight w:val="yellow"/>
        </w:rPr>
      </w:pPr>
    </w:p>
    <w:p w14:paraId="53A73D56" w14:textId="77777777" w:rsidR="00C5192C" w:rsidRPr="00395DB4" w:rsidRDefault="00C5192C" w:rsidP="00C5192C">
      <w:pPr>
        <w:rPr>
          <w:rFonts w:ascii="Garamond" w:hAnsi="Garamond"/>
        </w:rPr>
      </w:pPr>
      <w:r w:rsidRPr="00395DB4">
        <w:rPr>
          <w:rFonts w:ascii="Garamond" w:hAnsi="Garamond"/>
        </w:rPr>
        <w:t>2°/ Objectifs de méthode :</w:t>
      </w:r>
    </w:p>
    <w:p w14:paraId="554870D6" w14:textId="77777777" w:rsidR="00C5192C" w:rsidRPr="00395DB4" w:rsidRDefault="00C5192C" w:rsidP="009B2E61">
      <w:pPr>
        <w:pStyle w:val="Paragraphedeliste"/>
        <w:numPr>
          <w:ilvl w:val="0"/>
          <w:numId w:val="1"/>
        </w:numPr>
        <w:jc w:val="both"/>
        <w:rPr>
          <w:rFonts w:ascii="Garamond" w:hAnsi="Garamond"/>
        </w:rPr>
      </w:pPr>
      <w:r w:rsidRPr="00395DB4">
        <w:rPr>
          <w:rFonts w:ascii="Garamond" w:hAnsi="Garamond"/>
        </w:rPr>
        <w:t xml:space="preserve">Résoudre un cas pratique en appliquant le syllogisme juridique, c’est-à-dire en mobilisant des règles juridiques précises pour répondre à une problématique donnée ; </w:t>
      </w:r>
    </w:p>
    <w:p w14:paraId="571D9EE1" w14:textId="0D063039" w:rsidR="00C5192C" w:rsidRPr="00395DB4" w:rsidRDefault="009B2E61" w:rsidP="009B2E61">
      <w:pPr>
        <w:pStyle w:val="Paragraphedeliste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Construire</w:t>
      </w:r>
      <w:r w:rsidR="00C5192C" w:rsidRPr="00395DB4">
        <w:rPr>
          <w:rFonts w:ascii="Garamond" w:hAnsi="Garamond"/>
        </w:rPr>
        <w:t xml:space="preserve"> une argumentation juridique en mobilisant des règles de droit ; </w:t>
      </w:r>
    </w:p>
    <w:p w14:paraId="64C2CAD1" w14:textId="1C5A17FF" w:rsidR="00395DB4" w:rsidRDefault="00395DB4" w:rsidP="009B2E61">
      <w:pPr>
        <w:pStyle w:val="Paragraphedeliste"/>
        <w:numPr>
          <w:ilvl w:val="0"/>
          <w:numId w:val="1"/>
        </w:numPr>
        <w:jc w:val="both"/>
        <w:rPr>
          <w:rFonts w:ascii="Garamond" w:hAnsi="Garamond"/>
        </w:rPr>
      </w:pPr>
      <w:r w:rsidRPr="00395DB4">
        <w:rPr>
          <w:rFonts w:ascii="Garamond" w:hAnsi="Garamond"/>
        </w:rPr>
        <w:t xml:space="preserve">Décrypter un arrêt de la Cour de cassation, du Conseil d’État et de la Cour de </w:t>
      </w:r>
      <w:r w:rsidR="009B2E61">
        <w:rPr>
          <w:rFonts w:ascii="Garamond" w:hAnsi="Garamond"/>
        </w:rPr>
        <w:t>J</w:t>
      </w:r>
      <w:r w:rsidRPr="00395DB4">
        <w:rPr>
          <w:rFonts w:ascii="Garamond" w:hAnsi="Garamond"/>
        </w:rPr>
        <w:t>ustice</w:t>
      </w:r>
      <w:r>
        <w:rPr>
          <w:rFonts w:ascii="Garamond" w:hAnsi="Garamond"/>
        </w:rPr>
        <w:t> </w:t>
      </w:r>
      <w:r w:rsidR="009B2E61">
        <w:rPr>
          <w:rFonts w:ascii="Garamond" w:hAnsi="Garamond"/>
        </w:rPr>
        <w:t xml:space="preserve">de l’Union Européenne </w:t>
      </w:r>
      <w:r>
        <w:rPr>
          <w:rFonts w:ascii="Garamond" w:hAnsi="Garamond"/>
        </w:rPr>
        <w:t>;</w:t>
      </w:r>
    </w:p>
    <w:p w14:paraId="4757457D" w14:textId="3BC5F130" w:rsidR="00DC3C63" w:rsidRPr="00395DB4" w:rsidRDefault="00DC3C63" w:rsidP="009B2E61">
      <w:pPr>
        <w:pStyle w:val="Paragraphedeliste"/>
        <w:numPr>
          <w:ilvl w:val="0"/>
          <w:numId w:val="1"/>
        </w:numPr>
        <w:jc w:val="both"/>
        <w:rPr>
          <w:rFonts w:ascii="Garamond" w:hAnsi="Garamond"/>
        </w:rPr>
      </w:pPr>
      <w:r>
        <w:rPr>
          <w:rFonts w:ascii="Garamond" w:hAnsi="Garamond"/>
        </w:rPr>
        <w:t>Décrypter une décision de l’Autorité de la concurrence.</w:t>
      </w:r>
    </w:p>
    <w:p w14:paraId="2664EF1D" w14:textId="77777777" w:rsidR="00C5192C" w:rsidRPr="00395DB4" w:rsidRDefault="00C5192C" w:rsidP="00C5192C">
      <w:pPr>
        <w:rPr>
          <w:rFonts w:ascii="Garamond" w:hAnsi="Garamond"/>
        </w:rPr>
      </w:pPr>
    </w:p>
    <w:p w14:paraId="0935E90E" w14:textId="77777777" w:rsidR="00C5192C" w:rsidRPr="00395DB4" w:rsidRDefault="00C5192C" w:rsidP="00C5192C">
      <w:pPr>
        <w:rPr>
          <w:rFonts w:ascii="Garamond" w:hAnsi="Garamond"/>
        </w:rPr>
      </w:pPr>
      <w:r w:rsidRPr="00395DB4">
        <w:rPr>
          <w:rFonts w:ascii="Garamond" w:hAnsi="Garamond"/>
        </w:rPr>
        <w:t xml:space="preserve">3°/ Objectifs généraux : </w:t>
      </w:r>
    </w:p>
    <w:p w14:paraId="52A649F5" w14:textId="0F62279E" w:rsidR="009B2E61" w:rsidRDefault="009B2E61" w:rsidP="00C5192C">
      <w:pPr>
        <w:pStyle w:val="Paragraphedeliste"/>
        <w:numPr>
          <w:ilvl w:val="0"/>
          <w:numId w:val="3"/>
        </w:numPr>
        <w:jc w:val="both"/>
        <w:rPr>
          <w:rFonts w:ascii="Garamond" w:hAnsi="Garamond"/>
        </w:rPr>
      </w:pPr>
      <w:r>
        <w:rPr>
          <w:rFonts w:ascii="Garamond" w:hAnsi="Garamond"/>
        </w:rPr>
        <w:t>Approfondir ses connaissances en droit des obligations (contrat et responsabilité) ;</w:t>
      </w:r>
    </w:p>
    <w:p w14:paraId="743A766E" w14:textId="0A7C03B1" w:rsidR="00C5192C" w:rsidRDefault="00C5192C" w:rsidP="00C5192C">
      <w:pPr>
        <w:pStyle w:val="Paragraphedeliste"/>
        <w:numPr>
          <w:ilvl w:val="0"/>
          <w:numId w:val="3"/>
        </w:numPr>
        <w:jc w:val="both"/>
        <w:rPr>
          <w:rFonts w:ascii="Garamond" w:hAnsi="Garamond"/>
        </w:rPr>
      </w:pPr>
      <w:r w:rsidRPr="00395DB4">
        <w:rPr>
          <w:rFonts w:ascii="Garamond" w:hAnsi="Garamond"/>
        </w:rPr>
        <w:t>Renforcer sa culture juridique en étudiant une matière située au cœur de la vie en société et de la vie économique</w:t>
      </w:r>
      <w:r w:rsidR="00395DB4" w:rsidRPr="00395DB4">
        <w:rPr>
          <w:rFonts w:ascii="Garamond" w:hAnsi="Garamond"/>
        </w:rPr>
        <w:t> ;</w:t>
      </w:r>
    </w:p>
    <w:p w14:paraId="586F1EF8" w14:textId="68866BB1" w:rsidR="00395DB4" w:rsidRPr="00395DB4" w:rsidRDefault="00395DB4" w:rsidP="00C5192C">
      <w:pPr>
        <w:pStyle w:val="Paragraphedeliste"/>
        <w:numPr>
          <w:ilvl w:val="0"/>
          <w:numId w:val="3"/>
        </w:numPr>
        <w:jc w:val="both"/>
        <w:rPr>
          <w:rFonts w:ascii="Garamond" w:hAnsi="Garamond"/>
        </w:rPr>
      </w:pPr>
      <w:r w:rsidRPr="00395DB4">
        <w:rPr>
          <w:rFonts w:ascii="Garamond" w:hAnsi="Garamond"/>
        </w:rPr>
        <w:t>Renforcer sa culture économique</w:t>
      </w:r>
      <w:r w:rsidR="009B2E61">
        <w:rPr>
          <w:rFonts w:ascii="Garamond" w:hAnsi="Garamond"/>
        </w:rPr>
        <w:t>.</w:t>
      </w:r>
    </w:p>
    <w:p w14:paraId="47DFE9E7" w14:textId="77777777" w:rsidR="00C5192C" w:rsidRPr="0030096A" w:rsidRDefault="00C5192C" w:rsidP="00C5192C">
      <w:pPr>
        <w:rPr>
          <w:rFonts w:ascii="Garamond" w:hAnsi="Garamond"/>
        </w:rPr>
      </w:pPr>
    </w:p>
    <w:p w14:paraId="741D3076" w14:textId="77777777" w:rsidR="00C5192C" w:rsidRDefault="00C5192C" w:rsidP="00C5192C">
      <w:pPr>
        <w:rPr>
          <w:rFonts w:ascii="Garamond" w:hAnsi="Garamond"/>
          <w:b/>
        </w:rPr>
      </w:pPr>
      <w:r w:rsidRPr="004B23CC">
        <w:rPr>
          <w:rFonts w:ascii="Garamond" w:hAnsi="Garamond"/>
          <w:b/>
        </w:rPr>
        <w:t>Relation du cours avec le cursu</w:t>
      </w:r>
      <w:r>
        <w:rPr>
          <w:rFonts w:ascii="Garamond" w:hAnsi="Garamond"/>
          <w:b/>
        </w:rPr>
        <w:t>s Sciences P</w:t>
      </w:r>
      <w:r w:rsidRPr="004B23CC">
        <w:rPr>
          <w:rFonts w:ascii="Garamond" w:hAnsi="Garamond"/>
          <w:b/>
        </w:rPr>
        <w:t>o</w:t>
      </w:r>
      <w:r>
        <w:rPr>
          <w:rFonts w:ascii="Garamond" w:hAnsi="Garamond"/>
          <w:b/>
        </w:rPr>
        <w:t> :</w:t>
      </w:r>
    </w:p>
    <w:p w14:paraId="1ED92524" w14:textId="56550258" w:rsidR="00C5192C" w:rsidRPr="004404A4" w:rsidRDefault="00C5192C" w:rsidP="00C5192C">
      <w:pPr>
        <w:jc w:val="both"/>
        <w:rPr>
          <w:rFonts w:ascii="Garamond" w:hAnsi="Garamond"/>
        </w:rPr>
      </w:pPr>
      <w:r w:rsidRPr="004404A4">
        <w:rPr>
          <w:rFonts w:ascii="Garamond" w:hAnsi="Garamond"/>
        </w:rPr>
        <w:t xml:space="preserve">Le droit </w:t>
      </w:r>
      <w:r>
        <w:rPr>
          <w:rFonts w:ascii="Garamond" w:hAnsi="Garamond"/>
        </w:rPr>
        <w:t xml:space="preserve">de la concurrence </w:t>
      </w:r>
      <w:r w:rsidRPr="004404A4">
        <w:rPr>
          <w:rFonts w:ascii="Garamond" w:hAnsi="Garamond"/>
        </w:rPr>
        <w:t xml:space="preserve">a toute sa place dans la formation </w:t>
      </w:r>
      <w:r>
        <w:rPr>
          <w:rFonts w:ascii="Garamond" w:hAnsi="Garamond"/>
        </w:rPr>
        <w:t>pluridisciplinaire dispensée à</w:t>
      </w:r>
      <w:r w:rsidRPr="004404A4">
        <w:rPr>
          <w:rFonts w:ascii="Garamond" w:hAnsi="Garamond"/>
        </w:rPr>
        <w:t xml:space="preserve"> Sciences Po. </w:t>
      </w:r>
      <w:r>
        <w:rPr>
          <w:rFonts w:ascii="Garamond" w:hAnsi="Garamond"/>
        </w:rPr>
        <w:t>Ce cours vise à donner une culture juridique située par l’étude d’une discipline au cœur de la vie en société et de la vie économique. Ce cours invite plus largement à tisser des liens avec d’autres matières juridiques (comme le droit public</w:t>
      </w:r>
      <w:r w:rsidR="009F665E">
        <w:rPr>
          <w:rFonts w:ascii="Garamond" w:hAnsi="Garamond"/>
        </w:rPr>
        <w:t xml:space="preserve"> et le droit européen</w:t>
      </w:r>
      <w:r>
        <w:rPr>
          <w:rFonts w:ascii="Garamond" w:hAnsi="Garamond"/>
        </w:rPr>
        <w:t xml:space="preserve">) ou </w:t>
      </w:r>
      <w:r w:rsidR="009F665E">
        <w:rPr>
          <w:rFonts w:ascii="Garamond" w:hAnsi="Garamond"/>
        </w:rPr>
        <w:t>extra-juridiques</w:t>
      </w:r>
      <w:r>
        <w:rPr>
          <w:rFonts w:ascii="Garamond" w:hAnsi="Garamond"/>
        </w:rPr>
        <w:t xml:space="preserve"> (</w:t>
      </w:r>
      <w:r w:rsidR="009F665E">
        <w:rPr>
          <w:rFonts w:ascii="Garamond" w:hAnsi="Garamond"/>
        </w:rPr>
        <w:t>notamment l’</w:t>
      </w:r>
      <w:r>
        <w:rPr>
          <w:rFonts w:ascii="Garamond" w:hAnsi="Garamond"/>
        </w:rPr>
        <w:t>économie</w:t>
      </w:r>
      <w:r w:rsidR="009F665E">
        <w:rPr>
          <w:rFonts w:ascii="Garamond" w:hAnsi="Garamond"/>
        </w:rPr>
        <w:t xml:space="preserve"> et la politique</w:t>
      </w:r>
      <w:r>
        <w:rPr>
          <w:rFonts w:ascii="Garamond" w:hAnsi="Garamond"/>
        </w:rPr>
        <w:t xml:space="preserve">), tout en apportant un éclairage nouveau sur des notions abordées par d’autres cours, telles que </w:t>
      </w:r>
      <w:r w:rsidR="00635FCB" w:rsidRPr="00917770">
        <w:rPr>
          <w:rFonts w:ascii="Garamond" w:hAnsi="Garamond"/>
        </w:rPr>
        <w:t>le libéralisme</w:t>
      </w:r>
      <w:r w:rsidRPr="00917770">
        <w:rPr>
          <w:rFonts w:ascii="Garamond" w:hAnsi="Garamond"/>
        </w:rPr>
        <w:t xml:space="preserve">, </w:t>
      </w:r>
      <w:r w:rsidR="00395DB4" w:rsidRPr="00917770">
        <w:rPr>
          <w:rFonts w:ascii="Garamond" w:hAnsi="Garamond"/>
        </w:rPr>
        <w:t>les prérogatives régaliennes et européennes (interventionnisme ; contrôle du marché</w:t>
      </w:r>
      <w:r w:rsidR="00917770" w:rsidRPr="00917770">
        <w:rPr>
          <w:rFonts w:ascii="Garamond" w:hAnsi="Garamond"/>
        </w:rPr>
        <w:t xml:space="preserve">), </w:t>
      </w:r>
      <w:r w:rsidR="00663B00" w:rsidRPr="00917770">
        <w:rPr>
          <w:rFonts w:ascii="Garamond" w:hAnsi="Garamond"/>
        </w:rPr>
        <w:t xml:space="preserve">le contrat, la responsabilité civile, </w:t>
      </w:r>
      <w:r>
        <w:rPr>
          <w:rFonts w:ascii="Garamond" w:hAnsi="Garamond"/>
          <w:i/>
        </w:rPr>
        <w:t>etc</w:t>
      </w:r>
      <w:r>
        <w:rPr>
          <w:rFonts w:ascii="Garamond" w:hAnsi="Garamond"/>
        </w:rPr>
        <w:t xml:space="preserve">. </w:t>
      </w:r>
      <w:r w:rsidRPr="002903EF">
        <w:rPr>
          <w:rFonts w:ascii="Garamond" w:hAnsi="Garamond"/>
        </w:rPr>
        <w:t xml:space="preserve">L’étude du droit </w:t>
      </w:r>
      <w:r>
        <w:rPr>
          <w:rFonts w:ascii="Garamond" w:hAnsi="Garamond"/>
        </w:rPr>
        <w:t>de la concurrence</w:t>
      </w:r>
      <w:r w:rsidRPr="002903EF">
        <w:rPr>
          <w:rFonts w:ascii="Garamond" w:hAnsi="Garamond"/>
        </w:rPr>
        <w:t xml:space="preserve"> illustre ainsi l’absence de frontière étanche entre les disciplines et contribue à la compréhension de l’organ</w:t>
      </w:r>
      <w:r>
        <w:rPr>
          <w:rFonts w:ascii="Garamond" w:hAnsi="Garamond"/>
        </w:rPr>
        <w:t>isation du monde qui nous entou</w:t>
      </w:r>
      <w:r w:rsidRPr="002903EF">
        <w:rPr>
          <w:rFonts w:ascii="Garamond" w:hAnsi="Garamond"/>
        </w:rPr>
        <w:t>re.</w:t>
      </w:r>
    </w:p>
    <w:p w14:paraId="0B729CBD" w14:textId="77777777" w:rsidR="00C5192C" w:rsidRDefault="00C5192C" w:rsidP="00C5192C">
      <w:pPr>
        <w:jc w:val="both"/>
        <w:rPr>
          <w:rFonts w:ascii="Garamond" w:hAnsi="Garamond"/>
        </w:rPr>
      </w:pPr>
    </w:p>
    <w:p w14:paraId="46F3BD26" w14:textId="34578022" w:rsidR="00C5192C" w:rsidRPr="00D97A62" w:rsidRDefault="00C545DD" w:rsidP="00C5192C">
      <w:pPr>
        <w:rPr>
          <w:rFonts w:ascii="Garamond" w:hAnsi="Garamond"/>
          <w:b/>
        </w:rPr>
      </w:pPr>
      <w:r>
        <w:rPr>
          <w:rFonts w:ascii="Garamond" w:hAnsi="Garamond"/>
          <w:b/>
        </w:rPr>
        <w:t>M</w:t>
      </w:r>
      <w:r w:rsidR="00C5192C" w:rsidRPr="00C545DD">
        <w:rPr>
          <w:rFonts w:ascii="Garamond" w:hAnsi="Garamond"/>
          <w:b/>
        </w:rPr>
        <w:t>ots cl</w:t>
      </w:r>
      <w:r w:rsidR="00E6647D">
        <w:rPr>
          <w:rFonts w:ascii="Garamond" w:hAnsi="Garamond"/>
          <w:b/>
        </w:rPr>
        <w:t>efs</w:t>
      </w:r>
    </w:p>
    <w:p w14:paraId="63FEC1FF" w14:textId="6C388267" w:rsidR="00C545DD" w:rsidRDefault="00C545DD" w:rsidP="00C5192C">
      <w:pPr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Abus de dépendance économique – abus de position dominante - clause</w:t>
      </w:r>
      <w:r w:rsidRPr="00C545DD">
        <w:rPr>
          <w:rFonts w:ascii="Garamond" w:hAnsi="Garamond"/>
        </w:rPr>
        <w:t xml:space="preserve"> de confidentialité</w:t>
      </w:r>
      <w:r>
        <w:rPr>
          <w:rFonts w:ascii="Garamond" w:hAnsi="Garamond"/>
        </w:rPr>
        <w:t xml:space="preserve"> – clause</w:t>
      </w:r>
      <w:r w:rsidRPr="00C545DD">
        <w:rPr>
          <w:rFonts w:ascii="Garamond" w:hAnsi="Garamond"/>
        </w:rPr>
        <w:t xml:space="preserve"> de non-concurrence</w:t>
      </w:r>
      <w:r>
        <w:rPr>
          <w:rFonts w:ascii="Garamond" w:hAnsi="Garamond"/>
        </w:rPr>
        <w:t xml:space="preserve"> </w:t>
      </w:r>
      <w:r w:rsidRPr="00C545DD">
        <w:rPr>
          <w:rFonts w:ascii="Garamond" w:hAnsi="Garamond"/>
        </w:rPr>
        <w:t>–</w:t>
      </w:r>
      <w:r w:rsidR="009F665E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clauses </w:t>
      </w:r>
      <w:r w:rsidRPr="00C545DD">
        <w:rPr>
          <w:rFonts w:ascii="Garamond" w:hAnsi="Garamond"/>
        </w:rPr>
        <w:t xml:space="preserve">abusives </w:t>
      </w:r>
      <w:r>
        <w:rPr>
          <w:rFonts w:ascii="Garamond" w:hAnsi="Garamond"/>
        </w:rPr>
        <w:t>-</w:t>
      </w:r>
      <w:r w:rsidRPr="00C545DD">
        <w:rPr>
          <w:rFonts w:ascii="Garamond" w:hAnsi="Garamond"/>
        </w:rPr>
        <w:t xml:space="preserve"> </w:t>
      </w:r>
      <w:r>
        <w:rPr>
          <w:rFonts w:ascii="Garamond" w:hAnsi="Garamond"/>
        </w:rPr>
        <w:t>c</w:t>
      </w:r>
      <w:r w:rsidRPr="00C545DD">
        <w:rPr>
          <w:rFonts w:ascii="Garamond" w:hAnsi="Garamond"/>
        </w:rPr>
        <w:t>lauses noires</w:t>
      </w:r>
      <w:r>
        <w:rPr>
          <w:rFonts w:ascii="Garamond" w:hAnsi="Garamond"/>
        </w:rPr>
        <w:t xml:space="preserve"> -</w:t>
      </w:r>
      <w:r w:rsidRPr="00C545DD">
        <w:rPr>
          <w:rFonts w:ascii="Garamond" w:hAnsi="Garamond"/>
        </w:rPr>
        <w:t xml:space="preserve"> </w:t>
      </w:r>
      <w:r>
        <w:rPr>
          <w:rFonts w:ascii="Garamond" w:hAnsi="Garamond"/>
        </w:rPr>
        <w:t>c</w:t>
      </w:r>
      <w:r w:rsidRPr="00C545DD">
        <w:rPr>
          <w:rFonts w:ascii="Garamond" w:hAnsi="Garamond"/>
        </w:rPr>
        <w:t>lauses rouges</w:t>
      </w:r>
      <w:r>
        <w:rPr>
          <w:rFonts w:ascii="Garamond" w:hAnsi="Garamond"/>
        </w:rPr>
        <w:t xml:space="preserve"> - c</w:t>
      </w:r>
      <w:r w:rsidRPr="00C545DD">
        <w:rPr>
          <w:rFonts w:ascii="Garamond" w:hAnsi="Garamond"/>
        </w:rPr>
        <w:t xml:space="preserve">oncentrations </w:t>
      </w:r>
      <w:r>
        <w:rPr>
          <w:rFonts w:ascii="Garamond" w:hAnsi="Garamond"/>
        </w:rPr>
        <w:t>-</w:t>
      </w:r>
      <w:r w:rsidRPr="00C545DD">
        <w:rPr>
          <w:rFonts w:ascii="Garamond" w:hAnsi="Garamond"/>
        </w:rPr>
        <w:t xml:space="preserve"> </w:t>
      </w:r>
      <w:r>
        <w:rPr>
          <w:rFonts w:ascii="Garamond" w:hAnsi="Garamond"/>
        </w:rPr>
        <w:t>c</w:t>
      </w:r>
      <w:r w:rsidRPr="00C545DD">
        <w:rPr>
          <w:rFonts w:ascii="Garamond" w:hAnsi="Garamond"/>
        </w:rPr>
        <w:t>oncurrence déloyale</w:t>
      </w:r>
      <w:r>
        <w:rPr>
          <w:rFonts w:ascii="Garamond" w:hAnsi="Garamond"/>
        </w:rPr>
        <w:t xml:space="preserve"> </w:t>
      </w:r>
      <w:r w:rsidRPr="00C545DD">
        <w:rPr>
          <w:rFonts w:ascii="Garamond" w:hAnsi="Garamond"/>
        </w:rPr>
        <w:t>– action en contrefaçon– clause restreignant la concurrence</w:t>
      </w:r>
      <w:r>
        <w:rPr>
          <w:rFonts w:ascii="Garamond" w:hAnsi="Garamond"/>
        </w:rPr>
        <w:t xml:space="preserve"> </w:t>
      </w:r>
      <w:r w:rsidRPr="00C545DD">
        <w:rPr>
          <w:rFonts w:ascii="Garamond" w:hAnsi="Garamond"/>
        </w:rPr>
        <w:t>– concurrence illégale</w:t>
      </w:r>
      <w:r>
        <w:rPr>
          <w:rFonts w:ascii="Garamond" w:hAnsi="Garamond"/>
        </w:rPr>
        <w:t xml:space="preserve"> -</w:t>
      </w:r>
      <w:r w:rsidR="006202E3">
        <w:rPr>
          <w:rFonts w:ascii="Garamond" w:hAnsi="Garamond"/>
        </w:rPr>
        <w:t xml:space="preserve"> </w:t>
      </w:r>
      <w:r>
        <w:rPr>
          <w:rFonts w:ascii="Garamond" w:hAnsi="Garamond"/>
        </w:rPr>
        <w:t>c</w:t>
      </w:r>
      <w:r w:rsidRPr="00C545DD">
        <w:rPr>
          <w:rFonts w:ascii="Garamond" w:hAnsi="Garamond"/>
        </w:rPr>
        <w:t>onditions générales de vente (CGV)</w:t>
      </w:r>
      <w:r>
        <w:rPr>
          <w:rFonts w:ascii="Garamond" w:hAnsi="Garamond"/>
        </w:rPr>
        <w:t xml:space="preserve"> –</w:t>
      </w:r>
      <w:r w:rsidRPr="00C545DD">
        <w:rPr>
          <w:rFonts w:ascii="Garamond" w:hAnsi="Garamond"/>
        </w:rPr>
        <w:t xml:space="preserve"> </w:t>
      </w:r>
      <w:r>
        <w:rPr>
          <w:rFonts w:ascii="Garamond" w:hAnsi="Garamond"/>
        </w:rPr>
        <w:t>c</w:t>
      </w:r>
      <w:r w:rsidRPr="00C545DD">
        <w:rPr>
          <w:rFonts w:ascii="Garamond" w:hAnsi="Garamond"/>
        </w:rPr>
        <w:t>onsommateur</w:t>
      </w:r>
      <w:r>
        <w:rPr>
          <w:rFonts w:ascii="Garamond" w:hAnsi="Garamond"/>
        </w:rPr>
        <w:t xml:space="preserve"> –</w:t>
      </w:r>
      <w:r w:rsidR="009F665E">
        <w:rPr>
          <w:rFonts w:ascii="Garamond" w:hAnsi="Garamond"/>
        </w:rPr>
        <w:t xml:space="preserve"> </w:t>
      </w:r>
      <w:r>
        <w:rPr>
          <w:rFonts w:ascii="Garamond" w:hAnsi="Garamond"/>
        </w:rPr>
        <w:t>c</w:t>
      </w:r>
      <w:r w:rsidRPr="00C545DD">
        <w:rPr>
          <w:rFonts w:ascii="Garamond" w:hAnsi="Garamond"/>
        </w:rPr>
        <w:t>ontrôle des prix</w:t>
      </w:r>
      <w:r>
        <w:rPr>
          <w:rFonts w:ascii="Garamond" w:hAnsi="Garamond"/>
        </w:rPr>
        <w:t xml:space="preserve"> –</w:t>
      </w:r>
      <w:r w:rsidRPr="00C545DD">
        <w:rPr>
          <w:rFonts w:ascii="Garamond" w:hAnsi="Garamond"/>
        </w:rPr>
        <w:t xml:space="preserve"> </w:t>
      </w:r>
      <w:r>
        <w:rPr>
          <w:rFonts w:ascii="Garamond" w:hAnsi="Garamond"/>
        </w:rPr>
        <w:t>c</w:t>
      </w:r>
      <w:r w:rsidRPr="00C545DD">
        <w:rPr>
          <w:rFonts w:ascii="Garamond" w:hAnsi="Garamond"/>
        </w:rPr>
        <w:t>oût</w:t>
      </w:r>
      <w:r>
        <w:rPr>
          <w:rFonts w:ascii="Garamond" w:hAnsi="Garamond"/>
        </w:rPr>
        <w:t xml:space="preserve"> –d</w:t>
      </w:r>
      <w:r w:rsidRPr="00C545DD">
        <w:rPr>
          <w:rFonts w:ascii="Garamond" w:hAnsi="Garamond"/>
        </w:rPr>
        <w:t>élais de paiement</w:t>
      </w:r>
      <w:r>
        <w:rPr>
          <w:rFonts w:ascii="Garamond" w:hAnsi="Garamond"/>
        </w:rPr>
        <w:t xml:space="preserve"> –</w:t>
      </w:r>
      <w:r w:rsidRPr="00C545DD">
        <w:rPr>
          <w:rFonts w:ascii="Garamond" w:hAnsi="Garamond"/>
        </w:rPr>
        <w:t xml:space="preserve"> </w:t>
      </w:r>
      <w:r>
        <w:rPr>
          <w:rFonts w:ascii="Garamond" w:hAnsi="Garamond"/>
        </w:rPr>
        <w:t>d</w:t>
      </w:r>
      <w:r w:rsidRPr="00C545DD">
        <w:rPr>
          <w:rFonts w:ascii="Garamond" w:hAnsi="Garamond"/>
        </w:rPr>
        <w:t>énigrement</w:t>
      </w:r>
      <w:r>
        <w:rPr>
          <w:rFonts w:ascii="Garamond" w:hAnsi="Garamond"/>
        </w:rPr>
        <w:t xml:space="preserve"> -</w:t>
      </w:r>
      <w:r w:rsidRPr="00C545DD">
        <w:rPr>
          <w:rFonts w:ascii="Garamond" w:hAnsi="Garamond"/>
        </w:rPr>
        <w:t xml:space="preserve"> </w:t>
      </w:r>
      <w:r>
        <w:rPr>
          <w:rFonts w:ascii="Garamond" w:hAnsi="Garamond"/>
        </w:rPr>
        <w:t>d</w:t>
      </w:r>
      <w:r w:rsidRPr="00C545DD">
        <w:rPr>
          <w:rFonts w:ascii="Garamond" w:hAnsi="Garamond"/>
        </w:rPr>
        <w:t>éséquilibre significatif</w:t>
      </w:r>
      <w:r>
        <w:rPr>
          <w:rFonts w:ascii="Garamond" w:hAnsi="Garamond"/>
        </w:rPr>
        <w:t xml:space="preserve"> – d</w:t>
      </w:r>
      <w:r w:rsidRPr="00C545DD">
        <w:rPr>
          <w:rFonts w:ascii="Garamond" w:hAnsi="Garamond"/>
        </w:rPr>
        <w:t>ésorganisation</w:t>
      </w:r>
      <w:r>
        <w:rPr>
          <w:rFonts w:ascii="Garamond" w:hAnsi="Garamond"/>
        </w:rPr>
        <w:t xml:space="preserve"> - d</w:t>
      </w:r>
      <w:r w:rsidRPr="00C545DD">
        <w:rPr>
          <w:rFonts w:ascii="Garamond" w:hAnsi="Garamond"/>
        </w:rPr>
        <w:t>étournement de clientèle</w:t>
      </w:r>
      <w:r>
        <w:rPr>
          <w:rFonts w:ascii="Garamond" w:hAnsi="Garamond"/>
        </w:rPr>
        <w:t xml:space="preserve"> –</w:t>
      </w:r>
      <w:r w:rsidRPr="00C545DD">
        <w:rPr>
          <w:rFonts w:ascii="Garamond" w:hAnsi="Garamond"/>
        </w:rPr>
        <w:t xml:space="preserve"> </w:t>
      </w:r>
      <w:r>
        <w:rPr>
          <w:rFonts w:ascii="Garamond" w:hAnsi="Garamond"/>
        </w:rPr>
        <w:t>d</w:t>
      </w:r>
      <w:r w:rsidRPr="00C545DD">
        <w:rPr>
          <w:rFonts w:ascii="Garamond" w:hAnsi="Garamond"/>
        </w:rPr>
        <w:t>istribution</w:t>
      </w:r>
      <w:r>
        <w:rPr>
          <w:rFonts w:ascii="Garamond" w:hAnsi="Garamond"/>
        </w:rPr>
        <w:t xml:space="preserve"> -</w:t>
      </w:r>
      <w:r w:rsidRPr="00C545DD">
        <w:rPr>
          <w:rFonts w:ascii="Garamond" w:hAnsi="Garamond"/>
        </w:rPr>
        <w:t xml:space="preserve"> </w:t>
      </w:r>
      <w:r>
        <w:rPr>
          <w:rFonts w:ascii="Garamond" w:hAnsi="Garamond"/>
        </w:rPr>
        <w:t>d</w:t>
      </w:r>
      <w:r w:rsidRPr="00C545DD">
        <w:rPr>
          <w:rFonts w:ascii="Garamond" w:hAnsi="Garamond"/>
        </w:rPr>
        <w:t>istribution sélective</w:t>
      </w:r>
      <w:r>
        <w:rPr>
          <w:rFonts w:ascii="Garamond" w:hAnsi="Garamond"/>
        </w:rPr>
        <w:t xml:space="preserve"> -</w:t>
      </w:r>
      <w:r w:rsidRPr="00C545DD">
        <w:rPr>
          <w:rFonts w:ascii="Garamond" w:hAnsi="Garamond"/>
        </w:rPr>
        <w:t xml:space="preserve"> </w:t>
      </w:r>
      <w:r>
        <w:rPr>
          <w:rFonts w:ascii="Garamond" w:hAnsi="Garamond"/>
        </w:rPr>
        <w:t>d</w:t>
      </w:r>
      <w:r w:rsidRPr="00C545DD">
        <w:rPr>
          <w:rFonts w:ascii="Garamond" w:hAnsi="Garamond"/>
        </w:rPr>
        <w:t>onnées personnelles</w:t>
      </w:r>
      <w:r>
        <w:rPr>
          <w:rFonts w:ascii="Garamond" w:hAnsi="Garamond"/>
        </w:rPr>
        <w:t xml:space="preserve"> -</w:t>
      </w:r>
      <w:r w:rsidRPr="00C545DD">
        <w:rPr>
          <w:rFonts w:ascii="Garamond" w:hAnsi="Garamond"/>
        </w:rPr>
        <w:t xml:space="preserve"> </w:t>
      </w:r>
      <w:r>
        <w:rPr>
          <w:rFonts w:ascii="Garamond" w:hAnsi="Garamond"/>
        </w:rPr>
        <w:t>d</w:t>
      </w:r>
      <w:r w:rsidRPr="00C545DD">
        <w:rPr>
          <w:rFonts w:ascii="Garamond" w:hAnsi="Garamond"/>
        </w:rPr>
        <w:t>roit de la concurrence</w:t>
      </w:r>
      <w:r w:rsidR="009F665E">
        <w:rPr>
          <w:rFonts w:ascii="Garamond" w:hAnsi="Garamond"/>
        </w:rPr>
        <w:t xml:space="preserve"> </w:t>
      </w:r>
      <w:r>
        <w:rPr>
          <w:rFonts w:ascii="Garamond" w:hAnsi="Garamond"/>
        </w:rPr>
        <w:t>– e</w:t>
      </w:r>
      <w:r w:rsidRPr="00C545DD">
        <w:rPr>
          <w:rFonts w:ascii="Garamond" w:hAnsi="Garamond"/>
        </w:rPr>
        <w:t>ntentes</w:t>
      </w:r>
      <w:r>
        <w:rPr>
          <w:rFonts w:ascii="Garamond" w:hAnsi="Garamond"/>
        </w:rPr>
        <w:t xml:space="preserve"> –</w:t>
      </w:r>
      <w:r w:rsidRPr="00C545DD">
        <w:rPr>
          <w:rFonts w:ascii="Garamond" w:hAnsi="Garamond"/>
        </w:rPr>
        <w:t xml:space="preserve"> </w:t>
      </w:r>
      <w:r>
        <w:rPr>
          <w:rFonts w:ascii="Garamond" w:hAnsi="Garamond"/>
        </w:rPr>
        <w:t>e</w:t>
      </w:r>
      <w:r w:rsidRPr="00C545DD">
        <w:rPr>
          <w:rFonts w:ascii="Garamond" w:hAnsi="Garamond"/>
        </w:rPr>
        <w:t>xclusivité</w:t>
      </w:r>
      <w:r>
        <w:rPr>
          <w:rFonts w:ascii="Garamond" w:hAnsi="Garamond"/>
        </w:rPr>
        <w:t xml:space="preserve"> -</w:t>
      </w:r>
      <w:r w:rsidRPr="00C545DD">
        <w:rPr>
          <w:rFonts w:ascii="Garamond" w:hAnsi="Garamond"/>
        </w:rPr>
        <w:t xml:space="preserve"> </w:t>
      </w:r>
      <w:r>
        <w:rPr>
          <w:rFonts w:ascii="Garamond" w:hAnsi="Garamond"/>
        </w:rPr>
        <w:t>f</w:t>
      </w:r>
      <w:r w:rsidRPr="00C545DD">
        <w:rPr>
          <w:rFonts w:ascii="Garamond" w:hAnsi="Garamond"/>
        </w:rPr>
        <w:t xml:space="preserve">acturation </w:t>
      </w:r>
      <w:r>
        <w:rPr>
          <w:rFonts w:ascii="Garamond" w:hAnsi="Garamond"/>
        </w:rPr>
        <w:t>-</w:t>
      </w:r>
      <w:r w:rsidRPr="00C545DD">
        <w:rPr>
          <w:rFonts w:ascii="Garamond" w:hAnsi="Garamond"/>
        </w:rPr>
        <w:t xml:space="preserve"> </w:t>
      </w:r>
      <w:r>
        <w:rPr>
          <w:rFonts w:ascii="Garamond" w:hAnsi="Garamond"/>
        </w:rPr>
        <w:t>f</w:t>
      </w:r>
      <w:r w:rsidRPr="00C545DD">
        <w:rPr>
          <w:rFonts w:ascii="Garamond" w:hAnsi="Garamond"/>
        </w:rPr>
        <w:t>idélisation abusive</w:t>
      </w:r>
      <w:r>
        <w:rPr>
          <w:rFonts w:ascii="Garamond" w:hAnsi="Garamond"/>
        </w:rPr>
        <w:t xml:space="preserve"> -</w:t>
      </w:r>
      <w:r w:rsidRPr="00C545DD">
        <w:rPr>
          <w:rFonts w:ascii="Garamond" w:hAnsi="Garamond"/>
        </w:rPr>
        <w:t xml:space="preserve"> Grande distribution</w:t>
      </w:r>
      <w:r>
        <w:rPr>
          <w:rFonts w:ascii="Garamond" w:hAnsi="Garamond"/>
        </w:rPr>
        <w:t xml:space="preserve"> -</w:t>
      </w:r>
      <w:r w:rsidRPr="00C545DD">
        <w:rPr>
          <w:rFonts w:ascii="Garamond" w:hAnsi="Garamond"/>
        </w:rPr>
        <w:t xml:space="preserve"> Imitation des produits ou services</w:t>
      </w:r>
      <w:r>
        <w:rPr>
          <w:rFonts w:ascii="Garamond" w:hAnsi="Garamond"/>
        </w:rPr>
        <w:t xml:space="preserve"> – liberté contractuelle - liberté</w:t>
      </w:r>
      <w:r w:rsidRPr="00C545DD">
        <w:rPr>
          <w:rFonts w:ascii="Garamond" w:hAnsi="Garamond"/>
        </w:rPr>
        <w:t xml:space="preserve"> d’entreprendre</w:t>
      </w:r>
      <w:r>
        <w:rPr>
          <w:rFonts w:ascii="Garamond" w:hAnsi="Garamond"/>
        </w:rPr>
        <w:t xml:space="preserve"> -</w:t>
      </w:r>
      <w:r w:rsidRPr="00C545DD">
        <w:rPr>
          <w:rFonts w:ascii="Garamond" w:hAnsi="Garamond"/>
        </w:rPr>
        <w:t xml:space="preserve"> Loi </w:t>
      </w:r>
      <w:proofErr w:type="spellStart"/>
      <w:r w:rsidRPr="00C545DD">
        <w:rPr>
          <w:rFonts w:ascii="Garamond" w:hAnsi="Garamond"/>
        </w:rPr>
        <w:t>Egalim</w:t>
      </w:r>
      <w:proofErr w:type="spellEnd"/>
      <w:r>
        <w:rPr>
          <w:rFonts w:ascii="Garamond" w:hAnsi="Garamond"/>
        </w:rPr>
        <w:t xml:space="preserve"> -</w:t>
      </w:r>
      <w:r w:rsidRPr="00C545DD">
        <w:rPr>
          <w:rFonts w:ascii="Garamond" w:hAnsi="Garamond"/>
        </w:rPr>
        <w:t xml:space="preserve"> Loi Galland</w:t>
      </w:r>
      <w:r>
        <w:rPr>
          <w:rFonts w:ascii="Garamond" w:hAnsi="Garamond"/>
        </w:rPr>
        <w:t xml:space="preserve"> -</w:t>
      </w:r>
      <w:r w:rsidRPr="00C545DD">
        <w:rPr>
          <w:rFonts w:ascii="Garamond" w:hAnsi="Garamond"/>
        </w:rPr>
        <w:t xml:space="preserve"> Loi Macron</w:t>
      </w:r>
      <w:r>
        <w:rPr>
          <w:rFonts w:ascii="Garamond" w:hAnsi="Garamond"/>
        </w:rPr>
        <w:t xml:space="preserve"> -</w:t>
      </w:r>
      <w:r w:rsidRPr="00C545DD">
        <w:rPr>
          <w:rFonts w:ascii="Garamond" w:hAnsi="Garamond"/>
        </w:rPr>
        <w:t xml:space="preserve"> Loi de modernisation de l’économie (LME)</w:t>
      </w:r>
      <w:r>
        <w:rPr>
          <w:rFonts w:ascii="Garamond" w:hAnsi="Garamond"/>
        </w:rPr>
        <w:t xml:space="preserve"> –</w:t>
      </w:r>
      <w:r w:rsidRPr="00C545DD">
        <w:rPr>
          <w:rFonts w:ascii="Garamond" w:hAnsi="Garamond"/>
        </w:rPr>
        <w:t xml:space="preserve"> </w:t>
      </w:r>
      <w:r w:rsidR="0020415E">
        <w:rPr>
          <w:rFonts w:ascii="Garamond" w:hAnsi="Garamond"/>
        </w:rPr>
        <w:t>l</w:t>
      </w:r>
      <w:r w:rsidRPr="00C545DD">
        <w:rPr>
          <w:rFonts w:ascii="Garamond" w:hAnsi="Garamond"/>
        </w:rPr>
        <w:t>oyauté</w:t>
      </w:r>
      <w:r>
        <w:rPr>
          <w:rFonts w:ascii="Garamond" w:hAnsi="Garamond"/>
        </w:rPr>
        <w:t xml:space="preserve"> –</w:t>
      </w:r>
      <w:r w:rsidRPr="00C545DD">
        <w:rPr>
          <w:rFonts w:ascii="Garamond" w:hAnsi="Garamond"/>
        </w:rPr>
        <w:t xml:space="preserve"> </w:t>
      </w:r>
      <w:r w:rsidR="0020415E">
        <w:rPr>
          <w:rFonts w:ascii="Garamond" w:hAnsi="Garamond"/>
        </w:rPr>
        <w:t>m</w:t>
      </w:r>
      <w:r w:rsidRPr="00C545DD">
        <w:rPr>
          <w:rFonts w:ascii="Garamond" w:hAnsi="Garamond"/>
        </w:rPr>
        <w:t>arché</w:t>
      </w:r>
      <w:r>
        <w:rPr>
          <w:rFonts w:ascii="Garamond" w:hAnsi="Garamond"/>
        </w:rPr>
        <w:t xml:space="preserve"> –</w:t>
      </w:r>
      <w:r w:rsidRPr="00C545DD">
        <w:rPr>
          <w:rFonts w:ascii="Garamond" w:hAnsi="Garamond"/>
        </w:rPr>
        <w:t xml:space="preserve"> </w:t>
      </w:r>
      <w:r w:rsidR="0020415E">
        <w:rPr>
          <w:rFonts w:ascii="Garamond" w:hAnsi="Garamond"/>
        </w:rPr>
        <w:t>m</w:t>
      </w:r>
      <w:r w:rsidRPr="00C545DD">
        <w:rPr>
          <w:rFonts w:ascii="Garamond" w:hAnsi="Garamond"/>
        </w:rPr>
        <w:t>onopole</w:t>
      </w:r>
      <w:r>
        <w:rPr>
          <w:rFonts w:ascii="Garamond" w:hAnsi="Garamond"/>
        </w:rPr>
        <w:t xml:space="preserve"> – </w:t>
      </w:r>
      <w:r w:rsidR="0020415E">
        <w:rPr>
          <w:rFonts w:ascii="Garamond" w:hAnsi="Garamond"/>
        </w:rPr>
        <w:t>p</w:t>
      </w:r>
      <w:r w:rsidRPr="00C545DD">
        <w:rPr>
          <w:rFonts w:ascii="Garamond" w:hAnsi="Garamond"/>
        </w:rPr>
        <w:t>arasitisme</w:t>
      </w:r>
      <w:r>
        <w:rPr>
          <w:rFonts w:ascii="Garamond" w:hAnsi="Garamond"/>
        </w:rPr>
        <w:t xml:space="preserve"> - </w:t>
      </w:r>
      <w:r w:rsidR="0020415E">
        <w:rPr>
          <w:rFonts w:ascii="Garamond" w:hAnsi="Garamond"/>
        </w:rPr>
        <w:t>p</w:t>
      </w:r>
      <w:r w:rsidRPr="00C545DD">
        <w:rPr>
          <w:rFonts w:ascii="Garamond" w:hAnsi="Garamond"/>
        </w:rPr>
        <w:t>arts de marché</w:t>
      </w:r>
      <w:r>
        <w:rPr>
          <w:rFonts w:ascii="Garamond" w:hAnsi="Garamond"/>
        </w:rPr>
        <w:t xml:space="preserve"> -</w:t>
      </w:r>
      <w:r w:rsidRPr="00C545DD">
        <w:rPr>
          <w:rFonts w:ascii="Garamond" w:hAnsi="Garamond"/>
        </w:rPr>
        <w:t xml:space="preserve"> </w:t>
      </w:r>
      <w:r w:rsidR="0020415E">
        <w:rPr>
          <w:rFonts w:ascii="Garamond" w:hAnsi="Garamond"/>
        </w:rPr>
        <w:t>p</w:t>
      </w:r>
      <w:r w:rsidRPr="00C545DD">
        <w:rPr>
          <w:rFonts w:ascii="Garamond" w:hAnsi="Garamond"/>
        </w:rPr>
        <w:t>ouvoir de marché</w:t>
      </w:r>
      <w:r>
        <w:rPr>
          <w:rFonts w:ascii="Garamond" w:hAnsi="Garamond"/>
        </w:rPr>
        <w:t xml:space="preserve"> -</w:t>
      </w:r>
      <w:r w:rsidRPr="00C545DD">
        <w:rPr>
          <w:rFonts w:ascii="Garamond" w:hAnsi="Garamond"/>
        </w:rPr>
        <w:t xml:space="preserve"> </w:t>
      </w:r>
      <w:r w:rsidR="0020415E">
        <w:rPr>
          <w:rFonts w:ascii="Garamond" w:hAnsi="Garamond"/>
        </w:rPr>
        <w:t>p</w:t>
      </w:r>
      <w:r w:rsidRPr="00C545DD">
        <w:rPr>
          <w:rFonts w:ascii="Garamond" w:hAnsi="Garamond"/>
        </w:rPr>
        <w:t>ratiques commerciales déloyales entre entreprises</w:t>
      </w:r>
      <w:r w:rsidR="0020415E">
        <w:rPr>
          <w:rFonts w:ascii="Garamond" w:hAnsi="Garamond"/>
        </w:rPr>
        <w:t xml:space="preserve"> -</w:t>
      </w:r>
      <w:r w:rsidRPr="00C545DD">
        <w:rPr>
          <w:rFonts w:ascii="Garamond" w:hAnsi="Garamond"/>
        </w:rPr>
        <w:t xml:space="preserve"> </w:t>
      </w:r>
      <w:r w:rsidR="0020415E">
        <w:rPr>
          <w:rFonts w:ascii="Garamond" w:hAnsi="Garamond"/>
        </w:rPr>
        <w:t>p</w:t>
      </w:r>
      <w:r w:rsidRPr="00C545DD">
        <w:rPr>
          <w:rFonts w:ascii="Garamond" w:hAnsi="Garamond"/>
        </w:rPr>
        <w:t>ratiques restrictives de concurrence</w:t>
      </w:r>
      <w:r w:rsidR="0020415E">
        <w:rPr>
          <w:rFonts w:ascii="Garamond" w:hAnsi="Garamond"/>
        </w:rPr>
        <w:t xml:space="preserve"> –</w:t>
      </w:r>
      <w:r w:rsidRPr="00C545DD">
        <w:rPr>
          <w:rFonts w:ascii="Garamond" w:hAnsi="Garamond"/>
        </w:rPr>
        <w:t xml:space="preserve"> </w:t>
      </w:r>
      <w:r w:rsidR="0020415E">
        <w:rPr>
          <w:rFonts w:ascii="Garamond" w:hAnsi="Garamond"/>
        </w:rPr>
        <w:t>p</w:t>
      </w:r>
      <w:r w:rsidRPr="00C545DD">
        <w:rPr>
          <w:rFonts w:ascii="Garamond" w:hAnsi="Garamond"/>
        </w:rPr>
        <w:t>rix</w:t>
      </w:r>
      <w:r w:rsidR="0020415E">
        <w:rPr>
          <w:rFonts w:ascii="Garamond" w:hAnsi="Garamond"/>
        </w:rPr>
        <w:t xml:space="preserve"> -</w:t>
      </w:r>
      <w:r w:rsidRPr="00C545DD">
        <w:rPr>
          <w:rFonts w:ascii="Garamond" w:hAnsi="Garamond"/>
        </w:rPr>
        <w:t xml:space="preserve"> </w:t>
      </w:r>
      <w:r w:rsidR="0020415E">
        <w:rPr>
          <w:rFonts w:ascii="Garamond" w:hAnsi="Garamond"/>
        </w:rPr>
        <w:t>p</w:t>
      </w:r>
      <w:r w:rsidRPr="00C545DD">
        <w:rPr>
          <w:rFonts w:ascii="Garamond" w:hAnsi="Garamond"/>
        </w:rPr>
        <w:t xml:space="preserve">ublicité </w:t>
      </w:r>
      <w:r w:rsidR="0020415E">
        <w:rPr>
          <w:rFonts w:ascii="Garamond" w:hAnsi="Garamond"/>
        </w:rPr>
        <w:t>– r</w:t>
      </w:r>
      <w:r w:rsidRPr="00C545DD">
        <w:rPr>
          <w:rFonts w:ascii="Garamond" w:hAnsi="Garamond"/>
        </w:rPr>
        <w:t>éseau</w:t>
      </w:r>
      <w:r w:rsidR="0020415E">
        <w:rPr>
          <w:rFonts w:ascii="Garamond" w:hAnsi="Garamond"/>
        </w:rPr>
        <w:t xml:space="preserve"> - r</w:t>
      </w:r>
      <w:r w:rsidRPr="00C545DD">
        <w:rPr>
          <w:rFonts w:ascii="Garamond" w:hAnsi="Garamond"/>
        </w:rPr>
        <w:t xml:space="preserve">esponsabilité </w:t>
      </w:r>
      <w:r w:rsidR="0020415E">
        <w:rPr>
          <w:rFonts w:ascii="Garamond" w:hAnsi="Garamond"/>
        </w:rPr>
        <w:t>- r</w:t>
      </w:r>
      <w:r w:rsidRPr="00C545DD">
        <w:rPr>
          <w:rFonts w:ascii="Garamond" w:hAnsi="Garamond"/>
        </w:rPr>
        <w:t xml:space="preserve">estrictions </w:t>
      </w:r>
      <w:r w:rsidR="0020415E">
        <w:rPr>
          <w:rFonts w:ascii="Garamond" w:hAnsi="Garamond"/>
        </w:rPr>
        <w:t>- r</w:t>
      </w:r>
      <w:r w:rsidRPr="00C545DD">
        <w:rPr>
          <w:rFonts w:ascii="Garamond" w:hAnsi="Garamond"/>
        </w:rPr>
        <w:t>evente à perte</w:t>
      </w:r>
      <w:r w:rsidR="0020415E">
        <w:rPr>
          <w:rFonts w:ascii="Garamond" w:hAnsi="Garamond"/>
        </w:rPr>
        <w:t xml:space="preserve"> - s</w:t>
      </w:r>
      <w:r w:rsidRPr="00C545DD">
        <w:rPr>
          <w:rFonts w:ascii="Garamond" w:hAnsi="Garamond"/>
        </w:rPr>
        <w:t xml:space="preserve">euils </w:t>
      </w:r>
      <w:r w:rsidR="0020415E">
        <w:rPr>
          <w:rFonts w:ascii="Garamond" w:hAnsi="Garamond"/>
        </w:rPr>
        <w:t>– v</w:t>
      </w:r>
      <w:r w:rsidRPr="00C545DD">
        <w:rPr>
          <w:rFonts w:ascii="Garamond" w:hAnsi="Garamond"/>
        </w:rPr>
        <w:t>entes</w:t>
      </w:r>
      <w:r w:rsidR="0020415E">
        <w:rPr>
          <w:rFonts w:ascii="Garamond" w:hAnsi="Garamond"/>
        </w:rPr>
        <w:t>.</w:t>
      </w:r>
    </w:p>
    <w:p w14:paraId="104FDE1B" w14:textId="77777777" w:rsidR="00635FCB" w:rsidRDefault="00635FCB" w:rsidP="00C5192C">
      <w:pPr>
        <w:jc w:val="both"/>
        <w:rPr>
          <w:rFonts w:ascii="Garamond" w:hAnsi="Garamond"/>
        </w:rPr>
      </w:pPr>
    </w:p>
    <w:p w14:paraId="77C61C16" w14:textId="77777777" w:rsidR="00C5192C" w:rsidRDefault="00C5192C" w:rsidP="00C5192C">
      <w:pPr>
        <w:rPr>
          <w:rFonts w:ascii="Garamond" w:hAnsi="Garamond"/>
          <w:b/>
        </w:rPr>
      </w:pPr>
      <w:r w:rsidRPr="00D97A62">
        <w:rPr>
          <w:rFonts w:ascii="Garamond" w:hAnsi="Garamond"/>
          <w:b/>
        </w:rPr>
        <w:t>Prérequis</w:t>
      </w:r>
    </w:p>
    <w:p w14:paraId="06307D85" w14:textId="789E6BF7" w:rsidR="00C5192C" w:rsidRPr="007E1BFA" w:rsidRDefault="00C5192C" w:rsidP="00C5192C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Il convient </w:t>
      </w:r>
      <w:r w:rsidRPr="007E1BFA">
        <w:rPr>
          <w:rFonts w:ascii="Garamond" w:hAnsi="Garamond"/>
        </w:rPr>
        <w:t xml:space="preserve">d’avoir un minimum de culture juridique pour aborder ce cours (hiérarchie des sources, organisation judiciaire). </w:t>
      </w:r>
      <w:r w:rsidR="009F665E">
        <w:rPr>
          <w:rFonts w:ascii="Garamond" w:hAnsi="Garamond"/>
        </w:rPr>
        <w:t xml:space="preserve">Il serait bienvenu d’avoir suivi le cours de droit des contrats et éventuellement celui de droit des affaires. </w:t>
      </w:r>
    </w:p>
    <w:p w14:paraId="0D4BFECF" w14:textId="77777777" w:rsidR="00C5192C" w:rsidRDefault="00C5192C" w:rsidP="00C5192C">
      <w:pPr>
        <w:jc w:val="both"/>
        <w:rPr>
          <w:rFonts w:ascii="Garamond" w:hAnsi="Garamond"/>
        </w:rPr>
      </w:pPr>
    </w:p>
    <w:p w14:paraId="377AF41C" w14:textId="77777777" w:rsidR="00C5192C" w:rsidRPr="000F5E5C" w:rsidRDefault="00C5192C" w:rsidP="00C5192C">
      <w:pPr>
        <w:jc w:val="both"/>
        <w:rPr>
          <w:rFonts w:ascii="Garamond" w:hAnsi="Garamond"/>
          <w:b/>
        </w:rPr>
      </w:pPr>
      <w:r w:rsidRPr="000F5E5C">
        <w:rPr>
          <w:rFonts w:ascii="Garamond" w:hAnsi="Garamond"/>
          <w:b/>
        </w:rPr>
        <w:t>Conseils méthodologiques</w:t>
      </w:r>
    </w:p>
    <w:p w14:paraId="02F3B6C2" w14:textId="77777777" w:rsidR="00C5192C" w:rsidRPr="000F5E5C" w:rsidRDefault="00C5192C" w:rsidP="00C5192C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Il convient de se familiariser au plus vite avec les mots clefs, termes techniques innervant la matière. </w:t>
      </w:r>
      <w:r w:rsidRPr="000F5E5C">
        <w:rPr>
          <w:rFonts w:ascii="Garamond" w:hAnsi="Garamond"/>
        </w:rPr>
        <w:t xml:space="preserve">La mise en situation par </w:t>
      </w:r>
      <w:r>
        <w:rPr>
          <w:rFonts w:ascii="Garamond" w:hAnsi="Garamond"/>
        </w:rPr>
        <w:t>des</w:t>
      </w:r>
      <w:r w:rsidRPr="000F5E5C">
        <w:rPr>
          <w:rFonts w:ascii="Garamond" w:hAnsi="Garamond"/>
        </w:rPr>
        <w:t xml:space="preserve"> cas pratique</w:t>
      </w:r>
      <w:r>
        <w:rPr>
          <w:rFonts w:ascii="Garamond" w:hAnsi="Garamond"/>
        </w:rPr>
        <w:t>s</w:t>
      </w:r>
      <w:r w:rsidRPr="000F5E5C">
        <w:rPr>
          <w:rFonts w:ascii="Garamond" w:hAnsi="Garamond"/>
        </w:rPr>
        <w:t xml:space="preserve"> est essentielle pour parvenir à une bonne maîtrise de la matière. </w:t>
      </w:r>
    </w:p>
    <w:p w14:paraId="5AB6E91F" w14:textId="77777777" w:rsidR="00C5192C" w:rsidRPr="000F5E5C" w:rsidRDefault="00C5192C" w:rsidP="00C5192C">
      <w:pPr>
        <w:jc w:val="both"/>
        <w:rPr>
          <w:rFonts w:ascii="Garamond" w:hAnsi="Garamond"/>
        </w:rPr>
      </w:pPr>
    </w:p>
    <w:p w14:paraId="361A3064" w14:textId="77777777" w:rsidR="00C5192C" w:rsidRPr="0030096A" w:rsidRDefault="00C5192C" w:rsidP="00C5192C">
      <w:pPr>
        <w:rPr>
          <w:rFonts w:ascii="Garamond" w:hAnsi="Garamond"/>
          <w:b/>
        </w:rPr>
      </w:pPr>
      <w:r w:rsidRPr="0020415E">
        <w:rPr>
          <w:rFonts w:ascii="Garamond" w:hAnsi="Garamond"/>
          <w:b/>
        </w:rPr>
        <w:t>Bibliographie non exhaustive :</w:t>
      </w:r>
    </w:p>
    <w:p w14:paraId="72749C67" w14:textId="7D96E11F" w:rsidR="005F5BC9" w:rsidRDefault="005F5BC9" w:rsidP="009F665E">
      <w:pPr>
        <w:jc w:val="both"/>
        <w:rPr>
          <w:rFonts w:ascii="Garamond" w:hAnsi="Garamond"/>
        </w:rPr>
      </w:pPr>
      <w:r w:rsidRPr="0020415E">
        <w:rPr>
          <w:rFonts w:ascii="Garamond" w:hAnsi="Garamond"/>
        </w:rPr>
        <w:t xml:space="preserve">M. CAILLOT, M. DEPINCE, D. MAINGUY, </w:t>
      </w:r>
      <w:r w:rsidRPr="0020415E">
        <w:rPr>
          <w:rFonts w:ascii="Garamond" w:hAnsi="Garamond"/>
          <w:i/>
          <w:iCs/>
        </w:rPr>
        <w:t>Droit de la concurrence</w:t>
      </w:r>
      <w:r w:rsidRPr="0020415E">
        <w:rPr>
          <w:rFonts w:ascii="Garamond" w:hAnsi="Garamond"/>
        </w:rPr>
        <w:t>, Litec, 3e éd., 2019.</w:t>
      </w:r>
    </w:p>
    <w:p w14:paraId="7A61120C" w14:textId="0593302F" w:rsidR="000B5734" w:rsidRDefault="000B5734" w:rsidP="009F665E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E. COMBE, </w:t>
      </w:r>
      <w:r w:rsidR="00484465">
        <w:rPr>
          <w:rFonts w:ascii="Garamond" w:hAnsi="Garamond"/>
        </w:rPr>
        <w:t xml:space="preserve">La concurrence, </w:t>
      </w:r>
      <w:proofErr w:type="spellStart"/>
      <w:r w:rsidR="00933F15">
        <w:rPr>
          <w:rFonts w:ascii="Garamond" w:hAnsi="Garamond"/>
        </w:rPr>
        <w:t>préf</w:t>
      </w:r>
      <w:proofErr w:type="spellEnd"/>
      <w:r w:rsidR="00933F15">
        <w:rPr>
          <w:rFonts w:ascii="Garamond" w:hAnsi="Garamond"/>
        </w:rPr>
        <w:t xml:space="preserve">. L. Boone, </w:t>
      </w:r>
      <w:r w:rsidR="00484465">
        <w:rPr>
          <w:rFonts w:ascii="Garamond" w:hAnsi="Garamond"/>
        </w:rPr>
        <w:t>PUF, 2021.</w:t>
      </w:r>
    </w:p>
    <w:p w14:paraId="1AE6982A" w14:textId="3874F829" w:rsidR="005F5BC9" w:rsidRDefault="0020415E" w:rsidP="009F665E">
      <w:pPr>
        <w:jc w:val="both"/>
        <w:rPr>
          <w:rFonts w:ascii="Garamond" w:hAnsi="Garamond"/>
        </w:rPr>
      </w:pPr>
      <w:r w:rsidRPr="0020415E">
        <w:rPr>
          <w:rFonts w:ascii="Garamond" w:hAnsi="Garamond"/>
        </w:rPr>
        <w:t xml:space="preserve">A. et G. DECOCQ, </w:t>
      </w:r>
      <w:r w:rsidRPr="0020415E">
        <w:rPr>
          <w:rFonts w:ascii="Garamond" w:hAnsi="Garamond"/>
          <w:i/>
          <w:iCs/>
        </w:rPr>
        <w:t>Droit de la concurrence, Droit interne et droit de l’Union européenne</w:t>
      </w:r>
      <w:r w:rsidRPr="0020415E">
        <w:rPr>
          <w:rFonts w:ascii="Garamond" w:hAnsi="Garamond"/>
        </w:rPr>
        <w:t xml:space="preserve">, LGDJ, </w:t>
      </w:r>
      <w:r w:rsidR="005F5BC9" w:rsidRPr="0020415E">
        <w:rPr>
          <w:rFonts w:ascii="Garamond" w:hAnsi="Garamond"/>
        </w:rPr>
        <w:t xml:space="preserve">8e éd., </w:t>
      </w:r>
      <w:r w:rsidRPr="0020415E">
        <w:rPr>
          <w:rFonts w:ascii="Garamond" w:hAnsi="Garamond"/>
        </w:rPr>
        <w:t xml:space="preserve">2019. </w:t>
      </w:r>
    </w:p>
    <w:p w14:paraId="1DD174EB" w14:textId="32DA7CF4" w:rsidR="0020415E" w:rsidRDefault="0020415E" w:rsidP="009F665E">
      <w:pPr>
        <w:jc w:val="both"/>
        <w:rPr>
          <w:rFonts w:ascii="Garamond" w:hAnsi="Garamond"/>
        </w:rPr>
      </w:pPr>
      <w:r w:rsidRPr="0020415E">
        <w:rPr>
          <w:rFonts w:ascii="Garamond" w:hAnsi="Garamond"/>
        </w:rPr>
        <w:t>M.-A. FRISON-ROCHE</w:t>
      </w:r>
      <w:r>
        <w:rPr>
          <w:rFonts w:ascii="Garamond" w:hAnsi="Garamond"/>
        </w:rPr>
        <w:t xml:space="preserve"> et</w:t>
      </w:r>
      <w:r w:rsidRPr="0020415E">
        <w:rPr>
          <w:rFonts w:ascii="Garamond" w:hAnsi="Garamond"/>
        </w:rPr>
        <w:t xml:space="preserve"> </w:t>
      </w:r>
      <w:r>
        <w:rPr>
          <w:rFonts w:ascii="Garamond" w:hAnsi="Garamond"/>
        </w:rPr>
        <w:t>J.-Chr. RODA</w:t>
      </w:r>
      <w:r w:rsidRPr="0020415E">
        <w:rPr>
          <w:rFonts w:ascii="Garamond" w:hAnsi="Garamond"/>
        </w:rPr>
        <w:t xml:space="preserve">, Droit de la concurrence, </w:t>
      </w:r>
      <w:r w:rsidR="00484465">
        <w:rPr>
          <w:rFonts w:ascii="Garamond" w:hAnsi="Garamond"/>
        </w:rPr>
        <w:t>2</w:t>
      </w:r>
      <w:r w:rsidRPr="0020415E">
        <w:rPr>
          <w:rFonts w:ascii="Garamond" w:hAnsi="Garamond"/>
        </w:rPr>
        <w:t>e éd., Dalloz, coll</w:t>
      </w:r>
      <w:r>
        <w:rPr>
          <w:rFonts w:ascii="Garamond" w:hAnsi="Garamond"/>
        </w:rPr>
        <w:t>.</w:t>
      </w:r>
      <w:r w:rsidRPr="0020415E">
        <w:rPr>
          <w:rFonts w:ascii="Garamond" w:hAnsi="Garamond"/>
        </w:rPr>
        <w:t xml:space="preserve"> Précis, 20</w:t>
      </w:r>
      <w:r>
        <w:rPr>
          <w:rFonts w:ascii="Garamond" w:hAnsi="Garamond"/>
        </w:rPr>
        <w:t>2</w:t>
      </w:r>
      <w:r w:rsidR="00484465">
        <w:rPr>
          <w:rFonts w:ascii="Garamond" w:hAnsi="Garamond"/>
        </w:rPr>
        <w:t>2</w:t>
      </w:r>
      <w:r w:rsidRPr="0020415E">
        <w:rPr>
          <w:rFonts w:ascii="Garamond" w:hAnsi="Garamond"/>
        </w:rPr>
        <w:t xml:space="preserve">. </w:t>
      </w:r>
    </w:p>
    <w:p w14:paraId="5E6242EF" w14:textId="539DA949" w:rsidR="005F5BC9" w:rsidRPr="005F5BC9" w:rsidRDefault="005F5BC9" w:rsidP="009F665E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C. NOURISSAT et B. De CLAVIERE-BONNAMOUR, </w:t>
      </w:r>
      <w:r w:rsidRPr="005F5BC9">
        <w:rPr>
          <w:rFonts w:ascii="Garamond" w:hAnsi="Garamond"/>
          <w:i/>
          <w:iCs/>
        </w:rPr>
        <w:t>Droit de la concurrence - Libertés de circulation</w:t>
      </w:r>
      <w:r>
        <w:rPr>
          <w:rFonts w:ascii="Garamond" w:hAnsi="Garamond"/>
        </w:rPr>
        <w:t xml:space="preserve">, </w:t>
      </w:r>
      <w:r w:rsidRPr="005F5BC9">
        <w:rPr>
          <w:rFonts w:ascii="Garamond" w:hAnsi="Garamond"/>
        </w:rPr>
        <w:t>DALLOZ</w:t>
      </w:r>
      <w:r>
        <w:rPr>
          <w:rFonts w:ascii="Garamond" w:hAnsi="Garamond"/>
        </w:rPr>
        <w:t xml:space="preserve">, coll. </w:t>
      </w:r>
      <w:proofErr w:type="spellStart"/>
      <w:r>
        <w:rPr>
          <w:rFonts w:ascii="Garamond" w:hAnsi="Garamond"/>
        </w:rPr>
        <w:t>Hypercours</w:t>
      </w:r>
      <w:proofErr w:type="spellEnd"/>
      <w:r>
        <w:rPr>
          <w:rFonts w:ascii="Garamond" w:hAnsi="Garamond"/>
        </w:rPr>
        <w:t>, 6</w:t>
      </w:r>
      <w:r w:rsidRPr="005F5BC9">
        <w:rPr>
          <w:rFonts w:ascii="Garamond" w:hAnsi="Garamond"/>
          <w:vertAlign w:val="superscript"/>
        </w:rPr>
        <w:t>e</w:t>
      </w:r>
      <w:r>
        <w:rPr>
          <w:rFonts w:ascii="Garamond" w:hAnsi="Garamond"/>
        </w:rPr>
        <w:t xml:space="preserve"> éd., 2020. </w:t>
      </w:r>
    </w:p>
    <w:p w14:paraId="7E4E4E96" w14:textId="77777777" w:rsidR="0020415E" w:rsidRDefault="0020415E" w:rsidP="009F665E">
      <w:pPr>
        <w:jc w:val="both"/>
        <w:rPr>
          <w:rFonts w:ascii="Garamond" w:hAnsi="Garamond"/>
        </w:rPr>
      </w:pPr>
      <w:r w:rsidRPr="0020415E">
        <w:rPr>
          <w:rFonts w:ascii="Garamond" w:hAnsi="Garamond"/>
        </w:rPr>
        <w:t>J.- C</w:t>
      </w:r>
      <w:r>
        <w:rPr>
          <w:rFonts w:ascii="Garamond" w:hAnsi="Garamond"/>
        </w:rPr>
        <w:t>hr</w:t>
      </w:r>
      <w:r w:rsidRPr="0020415E">
        <w:rPr>
          <w:rFonts w:ascii="Garamond" w:hAnsi="Garamond"/>
        </w:rPr>
        <w:t xml:space="preserve">. RODA, </w:t>
      </w:r>
      <w:r w:rsidRPr="0020415E">
        <w:rPr>
          <w:rFonts w:ascii="Garamond" w:hAnsi="Garamond"/>
          <w:i/>
          <w:iCs/>
        </w:rPr>
        <w:t>Droit de la concurrence</w:t>
      </w:r>
      <w:r w:rsidRPr="0020415E">
        <w:rPr>
          <w:rFonts w:ascii="Garamond" w:hAnsi="Garamond"/>
        </w:rPr>
        <w:t xml:space="preserve">, Dalloz, coll. Mémento, 2019. </w:t>
      </w:r>
    </w:p>
    <w:p w14:paraId="3FF35F53" w14:textId="6509F2AF" w:rsidR="0020415E" w:rsidRDefault="0020415E" w:rsidP="009F665E">
      <w:pPr>
        <w:jc w:val="both"/>
        <w:rPr>
          <w:rFonts w:ascii="Garamond" w:hAnsi="Garamond"/>
        </w:rPr>
      </w:pPr>
      <w:r w:rsidRPr="0020415E">
        <w:rPr>
          <w:rFonts w:ascii="Garamond" w:hAnsi="Garamond"/>
        </w:rPr>
        <w:t xml:space="preserve">L. VOGEL, </w:t>
      </w:r>
      <w:r w:rsidRPr="0020415E">
        <w:rPr>
          <w:rFonts w:ascii="Garamond" w:hAnsi="Garamond"/>
          <w:i/>
          <w:iCs/>
        </w:rPr>
        <w:t>Droit européen des affaire</w:t>
      </w:r>
      <w:r>
        <w:rPr>
          <w:rFonts w:ascii="Garamond" w:hAnsi="Garamond"/>
          <w:i/>
          <w:iCs/>
        </w:rPr>
        <w:t>s</w:t>
      </w:r>
      <w:r w:rsidRPr="0020415E">
        <w:rPr>
          <w:rFonts w:ascii="Garamond" w:hAnsi="Garamond"/>
        </w:rPr>
        <w:t>, 2e éd., Dalloz, coll. Précis, 2019.</w:t>
      </w:r>
    </w:p>
    <w:p w14:paraId="2636A257" w14:textId="77777777" w:rsidR="000B7081" w:rsidRPr="000B7081" w:rsidRDefault="000B7081" w:rsidP="007F25F2">
      <w:pPr>
        <w:rPr>
          <w:rFonts w:ascii="Garamond" w:hAnsi="Garamond"/>
          <w:b/>
          <w:bCs/>
        </w:rPr>
      </w:pPr>
    </w:p>
    <w:sectPr w:rsidR="000B7081" w:rsidRPr="000B7081" w:rsidSect="00813CAB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91DB5"/>
    <w:multiLevelType w:val="hybridMultilevel"/>
    <w:tmpl w:val="D110C922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DA5B2D"/>
    <w:multiLevelType w:val="hybridMultilevel"/>
    <w:tmpl w:val="4E8CC62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813D9A"/>
    <w:multiLevelType w:val="hybridMultilevel"/>
    <w:tmpl w:val="10FC1498"/>
    <w:lvl w:ilvl="0" w:tplc="FC90D1F4">
      <w:start w:val="9"/>
      <w:numFmt w:val="bullet"/>
      <w:lvlText w:val="-"/>
      <w:lvlJc w:val="left"/>
      <w:pPr>
        <w:ind w:left="720" w:hanging="360"/>
      </w:pPr>
      <w:rPr>
        <w:rFonts w:ascii="Garamond" w:eastAsiaTheme="minorEastAsia" w:hAnsi="Garamond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F50F11"/>
    <w:multiLevelType w:val="hybridMultilevel"/>
    <w:tmpl w:val="6DFA8BE6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256BFE"/>
    <w:multiLevelType w:val="hybridMultilevel"/>
    <w:tmpl w:val="C2E2D6BC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3C7FBE"/>
    <w:multiLevelType w:val="hybridMultilevel"/>
    <w:tmpl w:val="F168D33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7CC"/>
    <w:rsid w:val="00007C84"/>
    <w:rsid w:val="000164A2"/>
    <w:rsid w:val="00035999"/>
    <w:rsid w:val="00091886"/>
    <w:rsid w:val="000B2B95"/>
    <w:rsid w:val="000B5734"/>
    <w:rsid w:val="000B7081"/>
    <w:rsid w:val="0010274B"/>
    <w:rsid w:val="00104246"/>
    <w:rsid w:val="00124EC2"/>
    <w:rsid w:val="0020415E"/>
    <w:rsid w:val="0033029B"/>
    <w:rsid w:val="0034611F"/>
    <w:rsid w:val="00375D5F"/>
    <w:rsid w:val="00395DB4"/>
    <w:rsid w:val="003B0F0A"/>
    <w:rsid w:val="003D1F32"/>
    <w:rsid w:val="00407792"/>
    <w:rsid w:val="00421C80"/>
    <w:rsid w:val="00435E92"/>
    <w:rsid w:val="00484465"/>
    <w:rsid w:val="00540C65"/>
    <w:rsid w:val="005A44BA"/>
    <w:rsid w:val="005D5AD2"/>
    <w:rsid w:val="005F5BC9"/>
    <w:rsid w:val="006202E3"/>
    <w:rsid w:val="0063526C"/>
    <w:rsid w:val="00635FCB"/>
    <w:rsid w:val="006444BD"/>
    <w:rsid w:val="00663B00"/>
    <w:rsid w:val="00696CED"/>
    <w:rsid w:val="006B2561"/>
    <w:rsid w:val="006D526E"/>
    <w:rsid w:val="00715E61"/>
    <w:rsid w:val="007C6BED"/>
    <w:rsid w:val="007F25F2"/>
    <w:rsid w:val="008007EE"/>
    <w:rsid w:val="00813CAB"/>
    <w:rsid w:val="00897698"/>
    <w:rsid w:val="008C244A"/>
    <w:rsid w:val="00900518"/>
    <w:rsid w:val="00917770"/>
    <w:rsid w:val="00933F15"/>
    <w:rsid w:val="00971264"/>
    <w:rsid w:val="009A24E4"/>
    <w:rsid w:val="009B2E61"/>
    <w:rsid w:val="009D612B"/>
    <w:rsid w:val="009E6274"/>
    <w:rsid w:val="009F665E"/>
    <w:rsid w:val="00AA67CC"/>
    <w:rsid w:val="00AD361B"/>
    <w:rsid w:val="00B14642"/>
    <w:rsid w:val="00B42EDD"/>
    <w:rsid w:val="00B92789"/>
    <w:rsid w:val="00BC2EA9"/>
    <w:rsid w:val="00C1225D"/>
    <w:rsid w:val="00C5192C"/>
    <w:rsid w:val="00C545DD"/>
    <w:rsid w:val="00D44A44"/>
    <w:rsid w:val="00DC3C63"/>
    <w:rsid w:val="00E06013"/>
    <w:rsid w:val="00E6647D"/>
    <w:rsid w:val="00E744F4"/>
    <w:rsid w:val="00E8630F"/>
    <w:rsid w:val="00F250C5"/>
    <w:rsid w:val="00F7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4173A"/>
  <w15:chartTrackingRefBased/>
  <w15:docId w15:val="{0F63D30C-E73F-5C47-8B07-E92EE73E1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67CC"/>
    <w:rPr>
      <w:rFonts w:eastAsiaTheme="minorEastAsia"/>
      <w:lang w:eastAsia="fr-FR"/>
    </w:rPr>
  </w:style>
  <w:style w:type="paragraph" w:styleId="Titre2">
    <w:name w:val="heading 2"/>
    <w:basedOn w:val="Normal"/>
    <w:next w:val="Normal"/>
    <w:link w:val="Titre2Car"/>
    <w:qFormat/>
    <w:rsid w:val="00AA67CC"/>
    <w:pPr>
      <w:keepNext/>
      <w:widowControl w:val="0"/>
      <w:tabs>
        <w:tab w:val="left" w:pos="560"/>
        <w:tab w:val="left" w:pos="1120"/>
        <w:tab w:val="left" w:pos="1680"/>
        <w:tab w:val="left" w:pos="2240"/>
        <w:tab w:val="left" w:pos="2820"/>
        <w:tab w:val="left" w:pos="3360"/>
        <w:tab w:val="left" w:pos="3920"/>
        <w:tab w:val="left" w:pos="4480"/>
        <w:tab w:val="center" w:pos="4535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outlineLvl w:val="1"/>
    </w:pPr>
    <w:rPr>
      <w:rFonts w:ascii="Times New Roman" w:eastAsia="Times New Roman" w:hAnsi="Times New Roman" w:cs="Times New Roman"/>
      <w:caps/>
      <w:sz w:val="2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AA67CC"/>
    <w:rPr>
      <w:rFonts w:ascii="Times New Roman" w:eastAsia="Times New Roman" w:hAnsi="Times New Roman" w:cs="Times New Roman"/>
      <w:caps/>
      <w:sz w:val="28"/>
      <w:szCs w:val="20"/>
      <w:lang w:eastAsia="fr-FR"/>
    </w:rPr>
  </w:style>
  <w:style w:type="table" w:styleId="Grilledutableau">
    <w:name w:val="Table Grid"/>
    <w:basedOn w:val="TableauNormal"/>
    <w:uiPriority w:val="59"/>
    <w:rsid w:val="00C5192C"/>
    <w:rPr>
      <w:rFonts w:eastAsiaTheme="minorEastAsia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C51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1062</Words>
  <Characters>5847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Adeline Thobie</dc:creator>
  <cp:keywords/>
  <dc:description/>
  <cp:lastModifiedBy>Democratisation</cp:lastModifiedBy>
  <cp:revision>3</cp:revision>
  <dcterms:created xsi:type="dcterms:W3CDTF">2023-02-10T16:15:00Z</dcterms:created>
  <dcterms:modified xsi:type="dcterms:W3CDTF">2023-03-07T09:03:00Z</dcterms:modified>
</cp:coreProperties>
</file>