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45"/>
      </w:tblGrid>
      <w:tr w:rsidR="00974E81" w14:paraId="518591B3" w14:textId="77777777" w:rsidTr="00974E81">
        <w:trPr>
          <w:trHeight w:val="1160"/>
        </w:trPr>
        <w:tc>
          <w:tcPr>
            <w:tcW w:w="4603" w:type="dxa"/>
          </w:tcPr>
          <w:p w14:paraId="088A7592" w14:textId="07A4AB76" w:rsidR="00974E81" w:rsidRDefault="00974E81">
            <w:pPr>
              <w:rPr>
                <w:rFonts w:ascii="Helvetica" w:hAnsi="Helvetica"/>
                <w:b/>
              </w:rPr>
            </w:pPr>
            <w:r w:rsidRPr="00CE4A66">
              <w:rPr>
                <w:rFonts w:cstheme="minorHAnsi"/>
                <w:noProof/>
                <w:color w:val="000000" w:themeColor="text1"/>
                <w:lang w:eastAsia="fr-FR"/>
              </w:rPr>
              <w:drawing>
                <wp:inline distT="0" distB="0" distL="0" distR="0" wp14:anchorId="535275E1" wp14:editId="64358A70">
                  <wp:extent cx="1095125" cy="996132"/>
                  <wp:effectExtent l="0" t="0" r="0" b="0"/>
                  <wp:docPr id="1" name="Image 1" descr="Une image contenant dessi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149" cy="107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  <w:vMerge w:val="restart"/>
          </w:tcPr>
          <w:p w14:paraId="2391694A" w14:textId="77777777" w:rsidR="0080413E" w:rsidRDefault="0080413E" w:rsidP="00974E81">
            <w:pPr>
              <w:jc w:val="right"/>
              <w:rPr>
                <w:rFonts w:ascii="Helvetica" w:hAnsi="Helvetica"/>
                <w:b/>
              </w:rPr>
            </w:pPr>
          </w:p>
          <w:p w14:paraId="1F179512" w14:textId="77777777" w:rsidR="007C5379" w:rsidRDefault="007C5379" w:rsidP="00974E81">
            <w:pPr>
              <w:jc w:val="right"/>
              <w:rPr>
                <w:rFonts w:ascii="Helvetica" w:hAnsi="Helvetica"/>
                <w:b/>
              </w:rPr>
            </w:pPr>
          </w:p>
          <w:p w14:paraId="66BE8DC2" w14:textId="77777777" w:rsidR="007C5379" w:rsidRPr="00974E81" w:rsidRDefault="007C5379" w:rsidP="00974E81">
            <w:pPr>
              <w:jc w:val="right"/>
              <w:rPr>
                <w:rFonts w:ascii="Helvetica" w:hAnsi="Helvetica"/>
                <w:b/>
              </w:rPr>
            </w:pPr>
          </w:p>
          <w:p w14:paraId="40FECB07" w14:textId="77777777" w:rsidR="00974E81" w:rsidRPr="00974E81" w:rsidRDefault="00974E81" w:rsidP="00974E81">
            <w:pPr>
              <w:jc w:val="right"/>
              <w:rPr>
                <w:rFonts w:ascii="Helvetica" w:hAnsi="Helvetica"/>
                <w:b/>
              </w:rPr>
            </w:pPr>
            <w:r w:rsidRPr="00974E81">
              <w:rPr>
                <w:rFonts w:ascii="Helvetica" w:hAnsi="Helvetica"/>
                <w:b/>
              </w:rPr>
              <w:t xml:space="preserve">Nathalie </w:t>
            </w:r>
            <w:proofErr w:type="spellStart"/>
            <w:r w:rsidRPr="00974E81">
              <w:rPr>
                <w:rFonts w:ascii="Helvetica" w:hAnsi="Helvetica"/>
                <w:b/>
              </w:rPr>
              <w:t>Berny</w:t>
            </w:r>
            <w:proofErr w:type="spellEnd"/>
          </w:p>
          <w:p w14:paraId="42CD1AAF" w14:textId="09BFA995" w:rsidR="00974E81" w:rsidRDefault="00030728" w:rsidP="00974E81">
            <w:pPr>
              <w:jc w:val="right"/>
              <w:rPr>
                <w:rFonts w:ascii="Helvetica" w:hAnsi="Helvetica"/>
                <w:b/>
              </w:rPr>
            </w:pPr>
            <w:hyperlink r:id="rId8" w:history="1">
              <w:r w:rsidR="00974E81" w:rsidRPr="00974E81">
                <w:rPr>
                  <w:rStyle w:val="Lienhypertexte"/>
                  <w:rFonts w:ascii="Helvetica" w:hAnsi="Helvetica"/>
                  <w:b/>
                </w:rPr>
                <w:t>n.berny@sciencespo-rennes.fr</w:t>
              </w:r>
            </w:hyperlink>
          </w:p>
        </w:tc>
      </w:tr>
      <w:tr w:rsidR="00974E81" w14:paraId="494507ED" w14:textId="77777777" w:rsidTr="00974E81">
        <w:trPr>
          <w:trHeight w:val="261"/>
        </w:trPr>
        <w:tc>
          <w:tcPr>
            <w:tcW w:w="4603" w:type="dxa"/>
          </w:tcPr>
          <w:p w14:paraId="0C336FF9" w14:textId="4236AB7E" w:rsidR="00974E81" w:rsidRPr="00974E81" w:rsidRDefault="00974E8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4603" w:type="dxa"/>
            <w:vMerge/>
          </w:tcPr>
          <w:p w14:paraId="2C5B652C" w14:textId="5346ECE2" w:rsidR="00974E81" w:rsidRDefault="00974E81" w:rsidP="00974E81">
            <w:pPr>
              <w:jc w:val="right"/>
              <w:rPr>
                <w:rFonts w:ascii="Helvetica" w:hAnsi="Helvetica"/>
                <w:b/>
              </w:rPr>
            </w:pPr>
          </w:p>
        </w:tc>
      </w:tr>
    </w:tbl>
    <w:p w14:paraId="5CC71EDE" w14:textId="609791DE" w:rsidR="00974E81" w:rsidRPr="00974E81" w:rsidRDefault="00974E81" w:rsidP="00974E81">
      <w:pPr>
        <w:jc w:val="right"/>
        <w:rPr>
          <w:rFonts w:ascii="Helvetica" w:hAnsi="Helvetica"/>
          <w:b/>
        </w:rPr>
      </w:pPr>
    </w:p>
    <w:p w14:paraId="11C21F34" w14:textId="77777777" w:rsidR="00974E81" w:rsidRPr="00974E81" w:rsidRDefault="00974E81" w:rsidP="00974E81">
      <w:pPr>
        <w:jc w:val="right"/>
        <w:rPr>
          <w:rFonts w:ascii="Helvetica" w:hAnsi="Helvetica"/>
          <w:b/>
        </w:rPr>
      </w:pPr>
    </w:p>
    <w:p w14:paraId="0D7248D4" w14:textId="2AB62C83" w:rsidR="00C31237" w:rsidRDefault="00C31237" w:rsidP="00F24BE2">
      <w:pPr>
        <w:jc w:val="center"/>
        <w:rPr>
          <w:rFonts w:ascii="Helvetica" w:hAnsi="Helvetica"/>
          <w:b/>
        </w:rPr>
      </w:pPr>
      <w:r w:rsidRPr="00C31237">
        <w:rPr>
          <w:rFonts w:ascii="Helvetica" w:hAnsi="Helvetica"/>
          <w:b/>
        </w:rPr>
        <w:t>Sociologie de l’action publique européenne</w:t>
      </w:r>
    </w:p>
    <w:p w14:paraId="786D83D6" w14:textId="2209FBA5" w:rsidR="00F24BE2" w:rsidRDefault="0014489D" w:rsidP="00E01B43">
      <w:r>
        <w:t xml:space="preserve">Que fait l’Union européenne ? Comment expliquer </w:t>
      </w:r>
      <w:r w:rsidR="00A0497D">
        <w:t xml:space="preserve">que les politiques publiques européennes </w:t>
      </w:r>
      <w:r w:rsidR="00F24BE2">
        <w:t>couvrent</w:t>
      </w:r>
      <w:r w:rsidR="00A0497D">
        <w:t xml:space="preserve"> autant</w:t>
      </w:r>
      <w:r w:rsidR="00327FC9">
        <w:t xml:space="preserve"> d’enjeux</w:t>
      </w:r>
      <w:r w:rsidR="00A0497D">
        <w:t xml:space="preserve"> </w:t>
      </w:r>
      <w:r>
        <w:t>? Comment rendre compte des dynamiques de la construction de l’action publique dans un système multi-niveau</w:t>
      </w:r>
      <w:r w:rsidR="00F24BE2">
        <w:t>x</w:t>
      </w:r>
      <w:r>
        <w:t xml:space="preserve"> et multi-institutionnel ? </w:t>
      </w:r>
    </w:p>
    <w:p w14:paraId="4C7923BD" w14:textId="4D8F19C6" w:rsidR="00F24BE2" w:rsidRDefault="007A205D" w:rsidP="00E01B43">
      <w:r>
        <w:t>Les caractéristiques de l’UE</w:t>
      </w:r>
      <w:r w:rsidR="006B7E47">
        <w:t xml:space="preserve">, </w:t>
      </w:r>
      <w:r>
        <w:t>une institution internationale singulière</w:t>
      </w:r>
      <w:r w:rsidR="006B7E47">
        <w:t>,</w:t>
      </w:r>
      <w:r>
        <w:t xml:space="preserve"> donnent un relief particulier aux débats structurant l’analyse des politiques publiques</w:t>
      </w:r>
      <w:r w:rsidR="00F24BE2">
        <w:t>.</w:t>
      </w:r>
      <w:r>
        <w:t xml:space="preserve"> L’UE s’est</w:t>
      </w:r>
      <w:r w:rsidR="00501FCC">
        <w:t xml:space="preserve"> de plus</w:t>
      </w:r>
      <w:r>
        <w:t xml:space="preserve"> révélé être un laboratoire d’expérimentation, relayant ou à l’origine d’innovation</w:t>
      </w:r>
      <w:r w:rsidR="00B93EA2">
        <w:t>s</w:t>
      </w:r>
      <w:r>
        <w:t xml:space="preserve"> en termes d’instruments de politiques dans les </w:t>
      </w:r>
      <w:r w:rsidR="0061765F">
        <w:t>États</w:t>
      </w:r>
      <w:r>
        <w:t xml:space="preserve">-membres. </w:t>
      </w:r>
      <w:r w:rsidR="00627E1E">
        <w:t>Elle offre donc un terrain particul</w:t>
      </w:r>
      <w:r w:rsidR="006B7E47">
        <w:t>ièrement stimulant pour explore</w:t>
      </w:r>
      <w:r w:rsidR="00627E1E">
        <w:t xml:space="preserve">r les ressorts des processus de décision publique, leur portée et leurs résultats. </w:t>
      </w:r>
    </w:p>
    <w:p w14:paraId="794AC7EB" w14:textId="205AC7B7" w:rsidR="007A205D" w:rsidRDefault="00627E1E" w:rsidP="00E01B43">
      <w:r>
        <w:t>L</w:t>
      </w:r>
      <w:r w:rsidR="00F24BE2">
        <w:t>e cours est structuré en trois temps, abordant successivement</w:t>
      </w:r>
      <w:r w:rsidR="006B7E47">
        <w:t xml:space="preserve"> : </w:t>
      </w:r>
      <w:r w:rsidR="00F24BE2">
        <w:t>les différentes dynamiques de l’extension des compétences de l’</w:t>
      </w:r>
      <w:r w:rsidR="006B7E47">
        <w:t xml:space="preserve">UE ; </w:t>
      </w:r>
      <w:r w:rsidR="00B93EA2">
        <w:t>le processus</w:t>
      </w:r>
      <w:r w:rsidR="00334277">
        <w:t xml:space="preserve"> de décision européen et l’évolution</w:t>
      </w:r>
      <w:r w:rsidR="00501FCC">
        <w:t xml:space="preserve"> </w:t>
      </w:r>
      <w:r w:rsidR="00F24BE2">
        <w:t>de l’équilibre institutionnel</w:t>
      </w:r>
      <w:r w:rsidR="002A4CD8">
        <w:t xml:space="preserve"> </w:t>
      </w:r>
      <w:r w:rsidR="00334277">
        <w:t>sur lequel il repose</w:t>
      </w:r>
      <w:r w:rsidR="006B7E47">
        <w:t> ;</w:t>
      </w:r>
      <w:r w:rsidR="002A4CD8">
        <w:t xml:space="preserve"> </w:t>
      </w:r>
      <w:r w:rsidR="00F24BE2">
        <w:t xml:space="preserve">et enfin </w:t>
      </w:r>
      <w:r w:rsidR="00DF2C97">
        <w:t>des exe</w:t>
      </w:r>
      <w:r w:rsidR="00B93EA2">
        <w:t xml:space="preserve">mples de </w:t>
      </w:r>
      <w:r w:rsidR="00F24BE2">
        <w:t>diff</w:t>
      </w:r>
      <w:r w:rsidR="0046420B">
        <w:t xml:space="preserve">érents </w:t>
      </w:r>
      <w:r w:rsidR="00334277">
        <w:t xml:space="preserve">types de politiques </w:t>
      </w:r>
      <w:r w:rsidR="0034525F">
        <w:t>sectorielles.</w:t>
      </w:r>
      <w:r w:rsidR="00F24BE2">
        <w:t xml:space="preserve"> </w:t>
      </w:r>
    </w:p>
    <w:p w14:paraId="55AC8CF9" w14:textId="4120BA89" w:rsidR="006B4ED8" w:rsidRPr="006B4ED8" w:rsidRDefault="006B4ED8" w:rsidP="00E01B43">
      <w:pPr>
        <w:rPr>
          <w:b/>
          <w:color w:val="FF0000"/>
          <w:u w:val="single"/>
        </w:rPr>
      </w:pPr>
      <w:r w:rsidRPr="006B4ED8">
        <w:rPr>
          <w:b/>
          <w:color w:val="FF0000"/>
          <w:highlight w:val="yellow"/>
          <w:u w:val="single"/>
        </w:rPr>
        <w:t xml:space="preserve">NE PAS DIFFUSER LE PLAN DE COURS </w:t>
      </w:r>
      <w:r w:rsidR="00857A90">
        <w:rPr>
          <w:b/>
          <w:color w:val="FF0000"/>
          <w:highlight w:val="yellow"/>
          <w:u w:val="single"/>
        </w:rPr>
        <w:t xml:space="preserve">NI LES REFERENCES </w:t>
      </w:r>
      <w:bookmarkStart w:id="0" w:name="_GoBack"/>
      <w:bookmarkEnd w:id="0"/>
      <w:r w:rsidRPr="006B4ED8">
        <w:rPr>
          <w:b/>
          <w:color w:val="FF0000"/>
          <w:highlight w:val="yellow"/>
          <w:u w:val="single"/>
        </w:rPr>
        <w:t>CI-DESSOUS AUX ETUDIANTS :</w:t>
      </w:r>
      <w:r w:rsidRPr="006B4ED8">
        <w:rPr>
          <w:b/>
          <w:color w:val="FF0000"/>
          <w:u w:val="single"/>
        </w:rPr>
        <w:t xml:space="preserve"> </w:t>
      </w:r>
    </w:p>
    <w:p w14:paraId="1F159D83" w14:textId="4205A715" w:rsidR="003863D9" w:rsidRPr="003863D9" w:rsidRDefault="003863D9" w:rsidP="003863D9">
      <w:pPr>
        <w:pStyle w:val="Paragraphedeliste"/>
        <w:numPr>
          <w:ilvl w:val="0"/>
          <w:numId w:val="2"/>
        </w:numPr>
      </w:pPr>
      <w:r>
        <w:t xml:space="preserve">Introduction - </w:t>
      </w:r>
      <w:r w:rsidRPr="003863D9">
        <w:t>Des communautés à l’Union européenne</w:t>
      </w:r>
    </w:p>
    <w:p w14:paraId="56BBEC65" w14:textId="60A61AF2" w:rsidR="00DF5FA8" w:rsidRPr="00567EF6" w:rsidRDefault="003863D9" w:rsidP="00E01B43">
      <w:pPr>
        <w:rPr>
          <w:b/>
        </w:rPr>
      </w:pPr>
      <w:r w:rsidRPr="00567EF6">
        <w:rPr>
          <w:b/>
        </w:rPr>
        <w:t xml:space="preserve">I. </w:t>
      </w:r>
      <w:r w:rsidR="00167DAE">
        <w:rPr>
          <w:b/>
        </w:rPr>
        <w:t xml:space="preserve">Les </w:t>
      </w:r>
      <w:r w:rsidR="00627E1E">
        <w:rPr>
          <w:b/>
        </w:rPr>
        <w:t>dynamiques de la</w:t>
      </w:r>
      <w:r w:rsidRPr="00567EF6">
        <w:rPr>
          <w:b/>
        </w:rPr>
        <w:t xml:space="preserve"> construction européenne</w:t>
      </w:r>
    </w:p>
    <w:p w14:paraId="525C91F7" w14:textId="54DD59B5" w:rsidR="00E01B43" w:rsidRPr="003863D9" w:rsidRDefault="004D16D3" w:rsidP="00E01B43">
      <w:pPr>
        <w:pStyle w:val="Paragraphedeliste"/>
        <w:numPr>
          <w:ilvl w:val="0"/>
          <w:numId w:val="2"/>
        </w:numPr>
      </w:pPr>
      <w:r>
        <w:t>Néo</w:t>
      </w:r>
      <w:r w:rsidR="003863D9">
        <w:t>-</w:t>
      </w:r>
      <w:proofErr w:type="spellStart"/>
      <w:r w:rsidR="003863D9">
        <w:t>fonctionalist</w:t>
      </w:r>
      <w:r w:rsidR="003863D9" w:rsidRPr="003863D9">
        <w:t>e</w:t>
      </w:r>
      <w:r w:rsidR="003863D9">
        <w:t>s</w:t>
      </w:r>
      <w:proofErr w:type="spellEnd"/>
      <w:r w:rsidR="003863D9" w:rsidRPr="003863D9">
        <w:t xml:space="preserve"> et </w:t>
      </w:r>
      <w:proofErr w:type="spellStart"/>
      <w:r w:rsidR="003863D9" w:rsidRPr="003863D9">
        <w:t>intergouvernementalistes</w:t>
      </w:r>
      <w:proofErr w:type="spellEnd"/>
    </w:p>
    <w:p w14:paraId="44589D14" w14:textId="4AC74CCB" w:rsidR="00E01B43" w:rsidRDefault="004D16D3" w:rsidP="00E01B43">
      <w:pPr>
        <w:pStyle w:val="Paragraphedeliste"/>
        <w:numPr>
          <w:ilvl w:val="0"/>
          <w:numId w:val="2"/>
        </w:numPr>
      </w:pPr>
      <w:r>
        <w:t>Gouvernance multi-niveaux et européanisation</w:t>
      </w:r>
    </w:p>
    <w:p w14:paraId="0AB2198B" w14:textId="3B36425F" w:rsidR="003863D9" w:rsidRPr="00567EF6" w:rsidRDefault="003863D9" w:rsidP="003863D9">
      <w:pPr>
        <w:rPr>
          <w:b/>
        </w:rPr>
      </w:pPr>
      <w:r w:rsidRPr="00567EF6">
        <w:rPr>
          <w:b/>
        </w:rPr>
        <w:t xml:space="preserve">II. La fabrication des politiques publiques </w:t>
      </w:r>
    </w:p>
    <w:p w14:paraId="00854E81" w14:textId="4E8AEE35" w:rsidR="00E01B43" w:rsidRPr="004D13AE" w:rsidRDefault="00627E1E" w:rsidP="00E01B43">
      <w:pPr>
        <w:pStyle w:val="Paragraphedeliste"/>
        <w:numPr>
          <w:ilvl w:val="0"/>
          <w:numId w:val="2"/>
        </w:numPr>
      </w:pPr>
      <w:r>
        <w:t>La m</w:t>
      </w:r>
      <w:r w:rsidR="003863D9">
        <w:t>ise à l’agenda</w:t>
      </w:r>
    </w:p>
    <w:p w14:paraId="1521628A" w14:textId="732A60A9" w:rsidR="00E01B43" w:rsidRPr="003863D9" w:rsidRDefault="00627E1E" w:rsidP="00E01B43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p</w:t>
      </w:r>
      <w:r w:rsidR="003863D9">
        <w:rPr>
          <w:lang w:val="en-US"/>
        </w:rPr>
        <w:t>rocessus</w:t>
      </w:r>
      <w:proofErr w:type="spellEnd"/>
      <w:r w:rsidR="003863D9">
        <w:rPr>
          <w:lang w:val="en-US"/>
        </w:rPr>
        <w:t xml:space="preserve"> de </w:t>
      </w:r>
      <w:proofErr w:type="spellStart"/>
      <w:r w:rsidR="003863D9">
        <w:rPr>
          <w:lang w:val="en-US"/>
        </w:rPr>
        <w:t>décision</w:t>
      </w:r>
      <w:proofErr w:type="spellEnd"/>
    </w:p>
    <w:p w14:paraId="3CCDFA09" w14:textId="41E457A4" w:rsidR="00E01B43" w:rsidRPr="004D13AE" w:rsidRDefault="00627E1E" w:rsidP="00E01B43">
      <w:pPr>
        <w:pStyle w:val="Paragraphedeliste"/>
        <w:numPr>
          <w:ilvl w:val="0"/>
          <w:numId w:val="2"/>
        </w:numPr>
      </w:pPr>
      <w:r>
        <w:t>La m</w:t>
      </w:r>
      <w:r w:rsidR="003863D9">
        <w:t xml:space="preserve">ise en </w:t>
      </w:r>
      <w:proofErr w:type="spellStart"/>
      <w:r w:rsidR="003863D9">
        <w:t>oeuvre</w:t>
      </w:r>
      <w:proofErr w:type="spellEnd"/>
    </w:p>
    <w:p w14:paraId="412CE96D" w14:textId="41E009C1" w:rsidR="003863D9" w:rsidRPr="00567EF6" w:rsidRDefault="003863D9" w:rsidP="003863D9">
      <w:pPr>
        <w:rPr>
          <w:b/>
          <w:lang w:val="en-US"/>
        </w:rPr>
      </w:pPr>
      <w:r w:rsidRPr="00567EF6">
        <w:rPr>
          <w:b/>
          <w:lang w:val="en-US"/>
        </w:rPr>
        <w:t xml:space="preserve">III. </w:t>
      </w:r>
      <w:r w:rsidR="005E3DC6" w:rsidRPr="00567EF6">
        <w:rPr>
          <w:b/>
          <w:lang w:val="en-US"/>
        </w:rPr>
        <w:t xml:space="preserve">Policy </w:t>
      </w:r>
      <w:r w:rsidR="005E3DC6" w:rsidRPr="009A08CC">
        <w:rPr>
          <w:b/>
          <w:lang w:val="en-US"/>
        </w:rPr>
        <w:t>outcomes</w:t>
      </w:r>
      <w:r w:rsidR="005E3DC6" w:rsidRPr="00567EF6">
        <w:rPr>
          <w:b/>
          <w:lang w:val="en-US"/>
        </w:rPr>
        <w:t xml:space="preserve"> </w:t>
      </w:r>
    </w:p>
    <w:p w14:paraId="61A7D2D7" w14:textId="3C2D5421" w:rsidR="00E01B43" w:rsidRPr="001E3441" w:rsidRDefault="00F24BE2" w:rsidP="00E01B43">
      <w:pPr>
        <w:pStyle w:val="Paragraphedeliste"/>
        <w:numPr>
          <w:ilvl w:val="0"/>
          <w:numId w:val="2"/>
        </w:numPr>
      </w:pPr>
      <w:r>
        <w:t>L</w:t>
      </w:r>
      <w:r w:rsidR="001E3441" w:rsidRPr="001E3441">
        <w:t>es réformes autour des politiques distributives</w:t>
      </w:r>
    </w:p>
    <w:p w14:paraId="7E505F8A" w14:textId="57837D66" w:rsidR="00E01B43" w:rsidRPr="005E3DC6" w:rsidRDefault="008310EE" w:rsidP="00E01B43">
      <w:pPr>
        <w:pStyle w:val="Paragraphedeliste"/>
        <w:numPr>
          <w:ilvl w:val="0"/>
          <w:numId w:val="2"/>
        </w:numPr>
      </w:pPr>
      <w:r>
        <w:t>L</w:t>
      </w:r>
      <w:r w:rsidR="00F24BE2">
        <w:t>a gouvernance économique europé</w:t>
      </w:r>
      <w:r>
        <w:t>e</w:t>
      </w:r>
      <w:r w:rsidR="00F24BE2">
        <w:t>nne</w:t>
      </w:r>
      <w:r>
        <w:t xml:space="preserve"> et la crise de l’Euro</w:t>
      </w:r>
    </w:p>
    <w:p w14:paraId="6C6E1E60" w14:textId="0EDDD163" w:rsidR="00E01B43" w:rsidRPr="005E3DC6" w:rsidRDefault="00F24BE2" w:rsidP="00E01B43">
      <w:pPr>
        <w:pStyle w:val="Paragraphedeliste"/>
        <w:numPr>
          <w:ilvl w:val="0"/>
          <w:numId w:val="2"/>
        </w:numPr>
      </w:pPr>
      <w:r>
        <w:t xml:space="preserve">Politique de régulation : </w:t>
      </w:r>
      <w:r w:rsidR="005E3DC6">
        <w:t>Les développements internes et externes de la</w:t>
      </w:r>
      <w:r w:rsidR="005E3DC6" w:rsidRPr="005E3DC6">
        <w:t xml:space="preserve"> politique environnementale </w:t>
      </w:r>
    </w:p>
    <w:p w14:paraId="0D1A69E3" w14:textId="2DCBA45E" w:rsidR="000F2E22" w:rsidRDefault="00F24BE2" w:rsidP="000F2E22">
      <w:pPr>
        <w:pStyle w:val="Paragraphedeliste"/>
        <w:numPr>
          <w:ilvl w:val="0"/>
          <w:numId w:val="2"/>
        </w:numPr>
      </w:pPr>
      <w:r>
        <w:t xml:space="preserve">Les politique de citoyenneté : l’immigration et la justice </w:t>
      </w:r>
    </w:p>
    <w:p w14:paraId="0EEED1C3" w14:textId="77777777" w:rsidR="000F2E22" w:rsidRDefault="000F2E22" w:rsidP="000F2E22"/>
    <w:p w14:paraId="26EB7742" w14:textId="1CF41B7E" w:rsidR="005E3DC6" w:rsidRPr="004D13AE" w:rsidRDefault="000F2E22" w:rsidP="00E01B43">
      <w:pPr>
        <w:pStyle w:val="Paragraphedeliste"/>
        <w:numPr>
          <w:ilvl w:val="0"/>
          <w:numId w:val="2"/>
        </w:numPr>
      </w:pPr>
      <w:r>
        <w:t xml:space="preserve">Conclusion - </w:t>
      </w:r>
      <w:r w:rsidR="005E3DC6">
        <w:t>Le débat entre intégration et désintégration</w:t>
      </w:r>
    </w:p>
    <w:p w14:paraId="56E5D2A1" w14:textId="0160486B" w:rsidR="00E01B43" w:rsidRPr="009A08CC" w:rsidRDefault="003018E8" w:rsidP="00E01B43">
      <w:pPr>
        <w:ind w:left="567" w:hanging="567"/>
        <w:rPr>
          <w:i/>
        </w:rPr>
      </w:pPr>
      <w:proofErr w:type="spellStart"/>
      <w:r w:rsidRPr="009A08CC">
        <w:rPr>
          <w:i/>
        </w:rPr>
        <w:t>Ré</w:t>
      </w:r>
      <w:r w:rsidR="00E01B43" w:rsidRPr="009A08CC">
        <w:rPr>
          <w:i/>
        </w:rPr>
        <w:t>ferences</w:t>
      </w:r>
      <w:proofErr w:type="spellEnd"/>
    </w:p>
    <w:p w14:paraId="0540C99C" w14:textId="0E44904D" w:rsidR="00BF4339" w:rsidRPr="00F05C77" w:rsidRDefault="00BF4339" w:rsidP="003018E8">
      <w:pPr>
        <w:spacing w:after="80"/>
        <w:ind w:left="567" w:hanging="567"/>
      </w:pPr>
      <w:proofErr w:type="spellStart"/>
      <w:r w:rsidRPr="003018E8">
        <w:t>Bé</w:t>
      </w:r>
      <w:r w:rsidRPr="00F05C77">
        <w:t>lot</w:t>
      </w:r>
      <w:proofErr w:type="spellEnd"/>
      <w:r w:rsidRPr="003018E8">
        <w:t xml:space="preserve"> C.</w:t>
      </w:r>
      <w:r w:rsidRPr="00F05C77">
        <w:t xml:space="preserve">, </w:t>
      </w:r>
      <w:proofErr w:type="spellStart"/>
      <w:r w:rsidRPr="00F05C77">
        <w:t>Magnette</w:t>
      </w:r>
      <w:proofErr w:type="spellEnd"/>
      <w:r w:rsidRPr="003018E8">
        <w:t xml:space="preserve"> P. </w:t>
      </w:r>
      <w:proofErr w:type="spellStart"/>
      <w:r w:rsidRPr="00F05C77">
        <w:t>Saurugger</w:t>
      </w:r>
      <w:proofErr w:type="spellEnd"/>
      <w:r w:rsidR="009A08CC">
        <w:t xml:space="preserve"> </w:t>
      </w:r>
      <w:r w:rsidRPr="003018E8">
        <w:t xml:space="preserve">S. (2008) </w:t>
      </w:r>
      <w:r w:rsidRPr="007A205D">
        <w:rPr>
          <w:i/>
        </w:rPr>
        <w:t>Science politique de l'Union européenne</w:t>
      </w:r>
      <w:r w:rsidRPr="003018E8">
        <w:t xml:space="preserve">, Paris, </w:t>
      </w:r>
      <w:proofErr w:type="spellStart"/>
      <w:r w:rsidRPr="003018E8">
        <w:t>Economica</w:t>
      </w:r>
      <w:proofErr w:type="spellEnd"/>
      <w:r w:rsidRPr="003018E8">
        <w:t xml:space="preserve">. </w:t>
      </w:r>
    </w:p>
    <w:p w14:paraId="49CE61D9" w14:textId="6323EF9B" w:rsidR="00E01B43" w:rsidRPr="00E01B43" w:rsidRDefault="00E01B43" w:rsidP="00E01B43">
      <w:pPr>
        <w:spacing w:after="80"/>
        <w:ind w:left="567" w:hanging="567"/>
        <w:rPr>
          <w:lang w:val="en-US"/>
        </w:rPr>
      </w:pPr>
      <w:proofErr w:type="spellStart"/>
      <w:r w:rsidRPr="00E01B43">
        <w:rPr>
          <w:lang w:val="en-US"/>
        </w:rPr>
        <w:t>Cini</w:t>
      </w:r>
      <w:proofErr w:type="spellEnd"/>
      <w:r w:rsidRPr="00E01B43">
        <w:rPr>
          <w:lang w:val="en-US"/>
        </w:rPr>
        <w:t xml:space="preserve">, M. </w:t>
      </w:r>
      <w:r w:rsidR="00A444C7">
        <w:rPr>
          <w:lang w:val="en-US"/>
        </w:rPr>
        <w:t xml:space="preserve">(2019) </w:t>
      </w:r>
      <w:r w:rsidRPr="00442312">
        <w:rPr>
          <w:i/>
          <w:lang w:val="en-US"/>
        </w:rPr>
        <w:t>European Union Politic</w:t>
      </w:r>
      <w:r w:rsidR="00981D96" w:rsidRPr="00442312">
        <w:rPr>
          <w:i/>
          <w:lang w:val="en-US"/>
        </w:rPr>
        <w:t>s</w:t>
      </w:r>
      <w:r w:rsidR="00981D96">
        <w:rPr>
          <w:lang w:val="en-US"/>
        </w:rPr>
        <w:t xml:space="preserve">, </w:t>
      </w:r>
      <w:r w:rsidR="00BF4339">
        <w:rPr>
          <w:lang w:val="en-US"/>
        </w:rPr>
        <w:t xml:space="preserve">Oxford, </w:t>
      </w:r>
      <w:r w:rsidR="00981D96">
        <w:rPr>
          <w:lang w:val="en-US"/>
        </w:rPr>
        <w:t>Oxford University Press</w:t>
      </w:r>
      <w:r w:rsidRPr="00E01B43">
        <w:rPr>
          <w:lang w:val="en-US"/>
        </w:rPr>
        <w:t xml:space="preserve">. </w:t>
      </w:r>
    </w:p>
    <w:p w14:paraId="251F57B5" w14:textId="3AFF139E" w:rsidR="00981D96" w:rsidRPr="00C15DD1" w:rsidRDefault="00981D96" w:rsidP="00E01B43">
      <w:pPr>
        <w:spacing w:after="80"/>
        <w:ind w:left="567" w:hanging="567"/>
      </w:pPr>
      <w:r w:rsidRPr="00C15DD1">
        <w:t xml:space="preserve">Costa, </w:t>
      </w:r>
      <w:r w:rsidR="00923D0A">
        <w:t xml:space="preserve">O., </w:t>
      </w:r>
      <w:proofErr w:type="spellStart"/>
      <w:r w:rsidR="00923D0A">
        <w:t>Brack</w:t>
      </w:r>
      <w:proofErr w:type="spellEnd"/>
      <w:r w:rsidR="00923D0A">
        <w:t xml:space="preserve"> N. </w:t>
      </w:r>
      <w:r w:rsidR="00A444C7">
        <w:t xml:space="preserve">(2017) </w:t>
      </w:r>
      <w:r w:rsidR="00923D0A" w:rsidRPr="00442312">
        <w:rPr>
          <w:i/>
        </w:rPr>
        <w:t>Le fonctionnement de l'Union européenne</w:t>
      </w:r>
      <w:r w:rsidR="00BF4339">
        <w:t>,</w:t>
      </w:r>
      <w:r w:rsidR="00BF4339" w:rsidRPr="00BF4339">
        <w:t xml:space="preserve"> </w:t>
      </w:r>
      <w:r w:rsidR="00BF4339">
        <w:t>Bruxelles,</w:t>
      </w:r>
      <w:r w:rsidR="00923D0A">
        <w:t xml:space="preserve"> Presses de l’ULB, 2017. </w:t>
      </w:r>
    </w:p>
    <w:p w14:paraId="24FFB1E7" w14:textId="41768D9A" w:rsidR="00442312" w:rsidRDefault="00442312" w:rsidP="00442312">
      <w:pPr>
        <w:spacing w:after="80"/>
        <w:ind w:left="567" w:hanging="567"/>
      </w:pPr>
      <w:proofErr w:type="spellStart"/>
      <w:r w:rsidRPr="00442312">
        <w:t>Magnette</w:t>
      </w:r>
      <w:proofErr w:type="spellEnd"/>
      <w:r>
        <w:t xml:space="preserve">, </w:t>
      </w:r>
      <w:r w:rsidRPr="00442312">
        <w:t xml:space="preserve">Paul </w:t>
      </w:r>
      <w:r>
        <w:t xml:space="preserve">(2017) </w:t>
      </w:r>
      <w:r w:rsidRPr="00442312">
        <w:rPr>
          <w:i/>
        </w:rPr>
        <w:t>Le régime politique de l'Union européenne</w:t>
      </w:r>
      <w:r>
        <w:t xml:space="preserve">, Presses de Sciences Po, Paris. </w:t>
      </w:r>
    </w:p>
    <w:p w14:paraId="145F3553" w14:textId="77777777" w:rsidR="003018E8" w:rsidRPr="003018E8" w:rsidRDefault="003018E8" w:rsidP="003018E8">
      <w:pPr>
        <w:tabs>
          <w:tab w:val="left" w:pos="8073"/>
        </w:tabs>
        <w:spacing w:after="80"/>
        <w:ind w:left="567" w:hanging="567"/>
        <w:rPr>
          <w:lang w:val="en-US"/>
        </w:rPr>
      </w:pPr>
      <w:r w:rsidRPr="003018E8">
        <w:rPr>
          <w:lang w:val="en-US"/>
        </w:rPr>
        <w:t xml:space="preserve">McCormick, J. (2020) </w:t>
      </w:r>
      <w:r w:rsidRPr="007A205D">
        <w:rPr>
          <w:i/>
          <w:lang w:val="en-US"/>
        </w:rPr>
        <w:t>Understanding the European Union. A Concise Introduction</w:t>
      </w:r>
      <w:r w:rsidRPr="003018E8">
        <w:rPr>
          <w:lang w:val="en-US"/>
        </w:rPr>
        <w:t>, Red Globe Press</w:t>
      </w:r>
    </w:p>
    <w:p w14:paraId="54C29585" w14:textId="30542C99" w:rsidR="00981D96" w:rsidRDefault="00B25C4A" w:rsidP="003018E8">
      <w:pPr>
        <w:tabs>
          <w:tab w:val="left" w:pos="8073"/>
        </w:tabs>
        <w:spacing w:after="80"/>
        <w:ind w:left="567" w:hanging="567"/>
      </w:pPr>
      <w:proofErr w:type="spellStart"/>
      <w:r>
        <w:t>Quermonne</w:t>
      </w:r>
      <w:proofErr w:type="spellEnd"/>
      <w:r>
        <w:t>, J.-L., (2015</w:t>
      </w:r>
      <w:r w:rsidRPr="003018E8">
        <w:t xml:space="preserve">) </w:t>
      </w:r>
      <w:r w:rsidR="001062CC" w:rsidRPr="007A205D">
        <w:rPr>
          <w:i/>
        </w:rPr>
        <w:t>Le système politique de l'Union européenne : des Communautés éc</w:t>
      </w:r>
      <w:r w:rsidRPr="007A205D">
        <w:rPr>
          <w:i/>
        </w:rPr>
        <w:t>onomiques à l'Union politique</w:t>
      </w:r>
      <w:r>
        <w:t xml:space="preserve">, </w:t>
      </w:r>
      <w:r w:rsidR="007A205D">
        <w:t xml:space="preserve">Paris, </w:t>
      </w:r>
      <w:r>
        <w:t>LGDJ-</w:t>
      </w:r>
      <w:proofErr w:type="spellStart"/>
      <w:r>
        <w:t>Lextenso</w:t>
      </w:r>
      <w:proofErr w:type="spellEnd"/>
      <w:r>
        <w:t xml:space="preserve">. </w:t>
      </w:r>
    </w:p>
    <w:p w14:paraId="02F23E7D" w14:textId="0E3C09E4" w:rsidR="00981D96" w:rsidRPr="009A08CC" w:rsidRDefault="003018E8" w:rsidP="009A08CC">
      <w:pPr>
        <w:tabs>
          <w:tab w:val="left" w:pos="8073"/>
        </w:tabs>
        <w:spacing w:after="80"/>
        <w:ind w:left="567" w:hanging="567"/>
      </w:pPr>
      <w:proofErr w:type="spellStart"/>
      <w:r w:rsidRPr="00A444C7">
        <w:t>Saurugger</w:t>
      </w:r>
      <w:proofErr w:type="spellEnd"/>
      <w:r>
        <w:t xml:space="preserve">, S. (2020) </w:t>
      </w:r>
      <w:r w:rsidRPr="00442312">
        <w:rPr>
          <w:i/>
        </w:rPr>
        <w:t>Théories et concepts de l'intégration européenne</w:t>
      </w:r>
      <w:r>
        <w:t xml:space="preserve">, </w:t>
      </w:r>
      <w:r w:rsidR="007A205D">
        <w:t xml:space="preserve">Paris, </w:t>
      </w:r>
      <w:r>
        <w:t xml:space="preserve">Presses de sciences Po, Paris. </w:t>
      </w:r>
    </w:p>
    <w:sectPr w:rsidR="00981D96" w:rsidRPr="009A08CC" w:rsidSect="00566A09">
      <w:headerReference w:type="even" r:id="rId9"/>
      <w:head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5932E" w14:textId="77777777" w:rsidR="00030728" w:rsidRDefault="00030728" w:rsidP="00B93EA2">
      <w:pPr>
        <w:spacing w:after="0"/>
      </w:pPr>
      <w:r>
        <w:separator/>
      </w:r>
    </w:p>
  </w:endnote>
  <w:endnote w:type="continuationSeparator" w:id="0">
    <w:p w14:paraId="49537A8B" w14:textId="77777777" w:rsidR="00030728" w:rsidRDefault="00030728" w:rsidP="00B93E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D4736" w14:textId="77777777" w:rsidR="00030728" w:rsidRDefault="00030728" w:rsidP="00B93EA2">
      <w:pPr>
        <w:spacing w:after="0"/>
      </w:pPr>
      <w:r>
        <w:separator/>
      </w:r>
    </w:p>
  </w:footnote>
  <w:footnote w:type="continuationSeparator" w:id="0">
    <w:p w14:paraId="60124E02" w14:textId="77777777" w:rsidR="00030728" w:rsidRDefault="00030728" w:rsidP="00B93E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026F0" w14:textId="77777777" w:rsidR="00B93EA2" w:rsidRDefault="00B93EA2" w:rsidP="009472D1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F03C742" w14:textId="77777777" w:rsidR="00B93EA2" w:rsidRDefault="00B93EA2" w:rsidP="00B93EA2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00B17" w14:textId="2D35D708" w:rsidR="00B93EA2" w:rsidRDefault="00B93EA2" w:rsidP="009472D1">
    <w:pPr>
      <w:pStyle w:val="En-tt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57A90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6E1EDE4" w14:textId="77777777" w:rsidR="00B93EA2" w:rsidRDefault="00B93EA2" w:rsidP="00B93EA2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6E23C7"/>
    <w:multiLevelType w:val="hybridMultilevel"/>
    <w:tmpl w:val="962C8B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09"/>
    <w:rsid w:val="00030728"/>
    <w:rsid w:val="0007607E"/>
    <w:rsid w:val="000D711C"/>
    <w:rsid w:val="000F0169"/>
    <w:rsid w:val="000F2E22"/>
    <w:rsid w:val="001062CC"/>
    <w:rsid w:val="00140F27"/>
    <w:rsid w:val="00143829"/>
    <w:rsid w:val="0014489D"/>
    <w:rsid w:val="00167DAE"/>
    <w:rsid w:val="0019707D"/>
    <w:rsid w:val="001B1B73"/>
    <w:rsid w:val="001E3441"/>
    <w:rsid w:val="00220636"/>
    <w:rsid w:val="00271C73"/>
    <w:rsid w:val="00273033"/>
    <w:rsid w:val="002A4CD8"/>
    <w:rsid w:val="003018E8"/>
    <w:rsid w:val="00327FC9"/>
    <w:rsid w:val="00334277"/>
    <w:rsid w:val="0034525F"/>
    <w:rsid w:val="00373CC7"/>
    <w:rsid w:val="003863D9"/>
    <w:rsid w:val="00442312"/>
    <w:rsid w:val="0045304D"/>
    <w:rsid w:val="00460C13"/>
    <w:rsid w:val="0046420B"/>
    <w:rsid w:val="004D01BF"/>
    <w:rsid w:val="004D16D3"/>
    <w:rsid w:val="004E05A1"/>
    <w:rsid w:val="004E6241"/>
    <w:rsid w:val="00501FCC"/>
    <w:rsid w:val="00566A09"/>
    <w:rsid w:val="00567EF6"/>
    <w:rsid w:val="00582CB1"/>
    <w:rsid w:val="005A6DBC"/>
    <w:rsid w:val="005B7E33"/>
    <w:rsid w:val="005E3DC6"/>
    <w:rsid w:val="0061765F"/>
    <w:rsid w:val="00627E1E"/>
    <w:rsid w:val="006B4ED8"/>
    <w:rsid w:val="006B7E47"/>
    <w:rsid w:val="00734095"/>
    <w:rsid w:val="00747E30"/>
    <w:rsid w:val="0077377A"/>
    <w:rsid w:val="007A205D"/>
    <w:rsid w:val="007C5379"/>
    <w:rsid w:val="007D3012"/>
    <w:rsid w:val="0080413E"/>
    <w:rsid w:val="00814ABC"/>
    <w:rsid w:val="008310EE"/>
    <w:rsid w:val="00835C06"/>
    <w:rsid w:val="0085662F"/>
    <w:rsid w:val="00856C79"/>
    <w:rsid w:val="00857A90"/>
    <w:rsid w:val="008F41C0"/>
    <w:rsid w:val="00923D0A"/>
    <w:rsid w:val="0096775B"/>
    <w:rsid w:val="00974E81"/>
    <w:rsid w:val="00981D96"/>
    <w:rsid w:val="00996015"/>
    <w:rsid w:val="009A08CC"/>
    <w:rsid w:val="00A0497D"/>
    <w:rsid w:val="00A35FE3"/>
    <w:rsid w:val="00A444C7"/>
    <w:rsid w:val="00A5575C"/>
    <w:rsid w:val="00AB0623"/>
    <w:rsid w:val="00AB7A6D"/>
    <w:rsid w:val="00AC37B2"/>
    <w:rsid w:val="00B25C4A"/>
    <w:rsid w:val="00B6526A"/>
    <w:rsid w:val="00B831F4"/>
    <w:rsid w:val="00B93EA2"/>
    <w:rsid w:val="00BE033B"/>
    <w:rsid w:val="00BF4339"/>
    <w:rsid w:val="00C122F5"/>
    <w:rsid w:val="00C15DD1"/>
    <w:rsid w:val="00C31237"/>
    <w:rsid w:val="00D02CD3"/>
    <w:rsid w:val="00D508C2"/>
    <w:rsid w:val="00D8071D"/>
    <w:rsid w:val="00DF2C97"/>
    <w:rsid w:val="00DF5FA8"/>
    <w:rsid w:val="00E01B43"/>
    <w:rsid w:val="00E36DE1"/>
    <w:rsid w:val="00E74D28"/>
    <w:rsid w:val="00E947F3"/>
    <w:rsid w:val="00EC5160"/>
    <w:rsid w:val="00EE7D83"/>
    <w:rsid w:val="00F05C77"/>
    <w:rsid w:val="00F22F11"/>
    <w:rsid w:val="00F24BE2"/>
    <w:rsid w:val="00F5290A"/>
    <w:rsid w:val="00F65042"/>
    <w:rsid w:val="00F712DC"/>
    <w:rsid w:val="00F90F3E"/>
    <w:rsid w:val="00FC57E2"/>
    <w:rsid w:val="00FE11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14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4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152F6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uiPriority w:val="99"/>
    <w:semiHidden/>
    <w:rsid w:val="00F854DF"/>
    <w:rPr>
      <w:rFonts w:ascii="Lucida Grande" w:hAnsi="Lucida Grande"/>
      <w:sz w:val="18"/>
      <w:szCs w:val="18"/>
    </w:rPr>
  </w:style>
  <w:style w:type="character" w:customStyle="1" w:styleId="TextedebullesCar0">
    <w:name w:val="Texte de bulles Car"/>
    <w:basedOn w:val="Policepardfaut"/>
    <w:uiPriority w:val="99"/>
    <w:semiHidden/>
    <w:rsid w:val="004F79BC"/>
    <w:rPr>
      <w:rFonts w:ascii="Lucida Grande" w:hAnsi="Lucida Grande"/>
      <w:sz w:val="18"/>
      <w:szCs w:val="18"/>
    </w:rPr>
  </w:style>
  <w:style w:type="character" w:customStyle="1" w:styleId="TextedebullesCar2">
    <w:name w:val="Texte de bulles Car"/>
    <w:basedOn w:val="Policepardfaut"/>
    <w:uiPriority w:val="99"/>
    <w:semiHidden/>
    <w:rsid w:val="00152F64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152F64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5304D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45304D"/>
    <w:rPr>
      <w:b/>
      <w:bCs/>
    </w:rPr>
  </w:style>
  <w:style w:type="paragraph" w:customStyle="1" w:styleId="p1">
    <w:name w:val="p1"/>
    <w:basedOn w:val="Normal"/>
    <w:rsid w:val="0045304D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45304D"/>
    <w:rPr>
      <w:color w:val="0000FF"/>
      <w:u w:val="single"/>
    </w:rPr>
  </w:style>
  <w:style w:type="table" w:styleId="Grilledutableau">
    <w:name w:val="Table Grid"/>
    <w:basedOn w:val="TableauNormal"/>
    <w:rsid w:val="00974E8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rsid w:val="00E01B43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05C77"/>
  </w:style>
  <w:style w:type="paragraph" w:styleId="En-tte">
    <w:name w:val="header"/>
    <w:basedOn w:val="Normal"/>
    <w:link w:val="En-tteCar"/>
    <w:unhideWhenUsed/>
    <w:rsid w:val="00B93EA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B93EA2"/>
  </w:style>
  <w:style w:type="character" w:styleId="Numrodepage">
    <w:name w:val="page number"/>
    <w:basedOn w:val="Policepardfaut"/>
    <w:semiHidden/>
    <w:unhideWhenUsed/>
    <w:rsid w:val="00B93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90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2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489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101">
                      <w:marLeft w:val="0"/>
                      <w:marRight w:val="0"/>
                      <w:marTop w:val="21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9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390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80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077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7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3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13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92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22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036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berny@sciencespo-rennes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Berny</dc:creator>
  <cp:keywords/>
  <cp:lastModifiedBy>Democratisation</cp:lastModifiedBy>
  <cp:revision>3</cp:revision>
  <dcterms:created xsi:type="dcterms:W3CDTF">2023-02-08T08:23:00Z</dcterms:created>
  <dcterms:modified xsi:type="dcterms:W3CDTF">2023-02-08T08:27:00Z</dcterms:modified>
</cp:coreProperties>
</file>